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E8" w:rsidRPr="00CB7D29" w:rsidRDefault="006A4934" w:rsidP="00CB7D29">
      <w:pPr>
        <w:pStyle w:val="Title"/>
        <w:jc w:val="center"/>
      </w:pPr>
      <w:r w:rsidRPr="00CB7D29">
        <w:t>Taxation</w:t>
      </w:r>
    </w:p>
    <w:p w:rsidR="008900E8"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lang w:val="en-IN"/>
        </w:rPr>
        <w:id w:val="365669"/>
        <w:docPartObj>
          <w:docPartGallery w:val="Table of Contents"/>
          <w:docPartUnique/>
        </w:docPartObj>
      </w:sdtPr>
      <w:sdtContent>
        <w:p w:rsidR="008900E8" w:rsidRPr="00CB7D29" w:rsidRDefault="006A4934" w:rsidP="00CB7D29">
          <w:pPr>
            <w:pStyle w:val="TOCHeading"/>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Table of Contents</w:t>
          </w:r>
        </w:p>
        <w:p w:rsidR="00CB7D29" w:rsidRDefault="00196606">
          <w:pPr>
            <w:pStyle w:val="TOC1"/>
            <w:tabs>
              <w:tab w:val="right" w:leader="dot" w:pos="9016"/>
            </w:tabs>
            <w:rPr>
              <w:noProof/>
            </w:rPr>
          </w:pPr>
          <w:r w:rsidRPr="00196606">
            <w:rPr>
              <w:rFonts w:ascii="Times New Roman" w:hAnsi="Times New Roman" w:cs="Times New Roman"/>
              <w:sz w:val="24"/>
              <w:szCs w:val="24"/>
            </w:rPr>
            <w:fldChar w:fldCharType="begin"/>
          </w:r>
          <w:r w:rsidR="006A4934" w:rsidRPr="00CB7D29">
            <w:rPr>
              <w:rFonts w:ascii="Times New Roman" w:hAnsi="Times New Roman" w:cs="Times New Roman"/>
              <w:sz w:val="24"/>
              <w:szCs w:val="24"/>
            </w:rPr>
            <w:instrText xml:space="preserve"> TOC \o "1-3" \h \z \u </w:instrText>
          </w:r>
          <w:r w:rsidRPr="00196606">
            <w:rPr>
              <w:rFonts w:ascii="Times New Roman" w:hAnsi="Times New Roman" w:cs="Times New Roman"/>
              <w:sz w:val="24"/>
              <w:szCs w:val="24"/>
            </w:rPr>
            <w:fldChar w:fldCharType="separate"/>
          </w:r>
          <w:hyperlink w:anchor="_Toc528691721" w:history="1">
            <w:r w:rsidR="00CB7D29" w:rsidRPr="00BE35EE">
              <w:rPr>
                <w:rStyle w:val="Hyperlink"/>
                <w:rFonts w:ascii="Times New Roman" w:hAnsi="Times New Roman" w:cs="Times New Roman"/>
                <w:noProof/>
              </w:rPr>
              <w:t>Resident of Australia for tax purposes</w:t>
            </w:r>
            <w:r w:rsidR="00CB7D29">
              <w:rPr>
                <w:noProof/>
                <w:webHidden/>
              </w:rPr>
              <w:tab/>
            </w:r>
            <w:r>
              <w:rPr>
                <w:noProof/>
                <w:webHidden/>
              </w:rPr>
              <w:fldChar w:fldCharType="begin"/>
            </w:r>
            <w:r w:rsidR="00CB7D29">
              <w:rPr>
                <w:noProof/>
                <w:webHidden/>
              </w:rPr>
              <w:instrText xml:space="preserve"> PAGEREF _Toc528691721 \h </w:instrText>
            </w:r>
            <w:r>
              <w:rPr>
                <w:noProof/>
                <w:webHidden/>
              </w:rPr>
            </w:r>
            <w:r>
              <w:rPr>
                <w:noProof/>
                <w:webHidden/>
              </w:rPr>
              <w:fldChar w:fldCharType="separate"/>
            </w:r>
            <w:r w:rsidR="00CB7D29">
              <w:rPr>
                <w:noProof/>
                <w:webHidden/>
              </w:rPr>
              <w:t>2</w:t>
            </w:r>
            <w:r>
              <w:rPr>
                <w:noProof/>
                <w:webHidden/>
              </w:rPr>
              <w:fldChar w:fldCharType="end"/>
            </w:r>
          </w:hyperlink>
        </w:p>
        <w:p w:rsidR="00CB7D29" w:rsidRDefault="00196606">
          <w:pPr>
            <w:pStyle w:val="TOC1"/>
            <w:tabs>
              <w:tab w:val="right" w:leader="dot" w:pos="9016"/>
            </w:tabs>
            <w:rPr>
              <w:noProof/>
            </w:rPr>
          </w:pPr>
          <w:hyperlink w:anchor="_Toc528691722" w:history="1">
            <w:r w:rsidR="00CB7D29" w:rsidRPr="00BE35EE">
              <w:rPr>
                <w:rStyle w:val="Hyperlink"/>
                <w:rFonts w:ascii="Times New Roman" w:hAnsi="Times New Roman" w:cs="Times New Roman"/>
                <w:noProof/>
              </w:rPr>
              <w:t>Assessable income for the year</w:t>
            </w:r>
            <w:r w:rsidR="00CB7D29">
              <w:rPr>
                <w:noProof/>
                <w:webHidden/>
              </w:rPr>
              <w:tab/>
            </w:r>
            <w:r>
              <w:rPr>
                <w:noProof/>
                <w:webHidden/>
              </w:rPr>
              <w:fldChar w:fldCharType="begin"/>
            </w:r>
            <w:r w:rsidR="00CB7D29">
              <w:rPr>
                <w:noProof/>
                <w:webHidden/>
              </w:rPr>
              <w:instrText xml:space="preserve"> PAGEREF _Toc528691722 \h </w:instrText>
            </w:r>
            <w:r>
              <w:rPr>
                <w:noProof/>
                <w:webHidden/>
              </w:rPr>
            </w:r>
            <w:r>
              <w:rPr>
                <w:noProof/>
                <w:webHidden/>
              </w:rPr>
              <w:fldChar w:fldCharType="separate"/>
            </w:r>
            <w:r w:rsidR="00CB7D29">
              <w:rPr>
                <w:noProof/>
                <w:webHidden/>
              </w:rPr>
              <w:t>3</w:t>
            </w:r>
            <w:r>
              <w:rPr>
                <w:noProof/>
                <w:webHidden/>
              </w:rPr>
              <w:fldChar w:fldCharType="end"/>
            </w:r>
          </w:hyperlink>
        </w:p>
        <w:p w:rsidR="00CB7D29" w:rsidRDefault="00196606">
          <w:pPr>
            <w:pStyle w:val="TOC1"/>
            <w:tabs>
              <w:tab w:val="right" w:leader="dot" w:pos="9016"/>
            </w:tabs>
            <w:rPr>
              <w:noProof/>
            </w:rPr>
          </w:pPr>
          <w:hyperlink w:anchor="_Toc528691723" w:history="1">
            <w:r w:rsidR="00CB7D29" w:rsidRPr="00BE35EE">
              <w:rPr>
                <w:rStyle w:val="Hyperlink"/>
                <w:rFonts w:ascii="Times New Roman" w:hAnsi="Times New Roman" w:cs="Times New Roman"/>
                <w:noProof/>
              </w:rPr>
              <w:t>References</w:t>
            </w:r>
            <w:r w:rsidR="00CB7D29">
              <w:rPr>
                <w:noProof/>
                <w:webHidden/>
              </w:rPr>
              <w:tab/>
            </w:r>
            <w:r>
              <w:rPr>
                <w:noProof/>
                <w:webHidden/>
              </w:rPr>
              <w:fldChar w:fldCharType="begin"/>
            </w:r>
            <w:r w:rsidR="00CB7D29">
              <w:rPr>
                <w:noProof/>
                <w:webHidden/>
              </w:rPr>
              <w:instrText xml:space="preserve"> PAGEREF _Toc528691723 \h </w:instrText>
            </w:r>
            <w:r>
              <w:rPr>
                <w:noProof/>
                <w:webHidden/>
              </w:rPr>
            </w:r>
            <w:r>
              <w:rPr>
                <w:noProof/>
                <w:webHidden/>
              </w:rPr>
              <w:fldChar w:fldCharType="separate"/>
            </w:r>
            <w:r w:rsidR="00CB7D29">
              <w:rPr>
                <w:noProof/>
                <w:webHidden/>
              </w:rPr>
              <w:t>5</w:t>
            </w:r>
            <w:r>
              <w:rPr>
                <w:noProof/>
                <w:webHidden/>
              </w:rPr>
              <w:fldChar w:fldCharType="end"/>
            </w:r>
          </w:hyperlink>
        </w:p>
        <w:p w:rsidR="008900E8" w:rsidRPr="00CB7D29" w:rsidRDefault="00196606" w:rsidP="00CB7D29">
          <w:pPr>
            <w:spacing w:line="360" w:lineRule="auto"/>
            <w:jc w:val="both"/>
            <w:rPr>
              <w:rFonts w:ascii="Times New Roman" w:hAnsi="Times New Roman" w:cs="Times New Roman"/>
              <w:sz w:val="24"/>
              <w:szCs w:val="24"/>
            </w:rPr>
          </w:pPr>
          <w:r w:rsidRPr="00CB7D29">
            <w:rPr>
              <w:rFonts w:ascii="Times New Roman" w:hAnsi="Times New Roman" w:cs="Times New Roman"/>
              <w:b/>
              <w:bCs/>
              <w:noProof/>
              <w:sz w:val="24"/>
              <w:szCs w:val="24"/>
              <w:lang w:val="en-US"/>
            </w:rPr>
            <w:fldChar w:fldCharType="end"/>
          </w:r>
        </w:p>
      </w:sdtContent>
    </w:sdt>
    <w:p w:rsidR="008900E8"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br w:type="page"/>
      </w:r>
    </w:p>
    <w:p w:rsidR="001B5886" w:rsidRPr="00CB7D29" w:rsidRDefault="006A4934" w:rsidP="00CB7D29">
      <w:pPr>
        <w:pStyle w:val="Heading1"/>
        <w:spacing w:line="360" w:lineRule="auto"/>
        <w:jc w:val="both"/>
        <w:rPr>
          <w:rFonts w:ascii="Times New Roman" w:hAnsi="Times New Roman" w:cs="Times New Roman"/>
          <w:sz w:val="24"/>
          <w:szCs w:val="24"/>
        </w:rPr>
      </w:pPr>
      <w:bookmarkStart w:id="0" w:name="_Toc528691721"/>
      <w:r w:rsidRPr="00CB7D29">
        <w:rPr>
          <w:rFonts w:ascii="Times New Roman" w:hAnsi="Times New Roman" w:cs="Times New Roman"/>
          <w:sz w:val="24"/>
          <w:szCs w:val="24"/>
        </w:rPr>
        <w:lastRenderedPageBreak/>
        <w:t>Resident of Australia for tax purposes</w:t>
      </w:r>
      <w:bookmarkEnd w:id="0"/>
    </w:p>
    <w:p w:rsidR="00075383"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 xml:space="preserve">Most of the people who arrive in Australia for a visit or working holiday are not considered to be the Australian residents. </w:t>
      </w:r>
      <w:r w:rsidR="007607BD" w:rsidRPr="00CB7D29">
        <w:rPr>
          <w:rFonts w:ascii="Times New Roman" w:hAnsi="Times New Roman" w:cs="Times New Roman"/>
          <w:sz w:val="24"/>
          <w:szCs w:val="24"/>
        </w:rPr>
        <w:t xml:space="preserve">It consists of the people on </w:t>
      </w:r>
      <w:r w:rsidR="00B071A7" w:rsidRPr="00CB7D29">
        <w:rPr>
          <w:rFonts w:ascii="Times New Roman" w:hAnsi="Times New Roman" w:cs="Times New Roman"/>
          <w:sz w:val="24"/>
          <w:szCs w:val="24"/>
        </w:rPr>
        <w:t xml:space="preserve">462 or 417 visas. They are considered as the backpackers who do not have any intention to stay in Australia rather they want to enjoy the holiday while working. In Australia, the backpackers earning income have to pay tax on the first dollar which is 15 per cent up to $37000 in a year. An individual </w:t>
      </w:r>
      <w:r w:rsidR="006E3F24" w:rsidRPr="00CB7D29">
        <w:rPr>
          <w:rFonts w:ascii="Times New Roman" w:hAnsi="Times New Roman" w:cs="Times New Roman"/>
          <w:sz w:val="24"/>
          <w:szCs w:val="24"/>
        </w:rPr>
        <w:t>will be</w:t>
      </w:r>
      <w:r w:rsidR="00B071A7" w:rsidRPr="00CB7D29">
        <w:rPr>
          <w:rFonts w:ascii="Times New Roman" w:hAnsi="Times New Roman" w:cs="Times New Roman"/>
          <w:sz w:val="24"/>
          <w:szCs w:val="24"/>
        </w:rPr>
        <w:t xml:space="preserve"> a resident </w:t>
      </w:r>
      <w:r w:rsidR="006E3F24" w:rsidRPr="00CB7D29">
        <w:rPr>
          <w:rFonts w:ascii="Times New Roman" w:hAnsi="Times New Roman" w:cs="Times New Roman"/>
          <w:sz w:val="24"/>
          <w:szCs w:val="24"/>
        </w:rPr>
        <w:t xml:space="preserve">of Australia </w:t>
      </w:r>
      <w:r w:rsidR="00B071A7" w:rsidRPr="00CB7D29">
        <w:rPr>
          <w:rFonts w:ascii="Times New Roman" w:hAnsi="Times New Roman" w:cs="Times New Roman"/>
          <w:sz w:val="24"/>
          <w:szCs w:val="24"/>
        </w:rPr>
        <w:t>for the tax purpose</w:t>
      </w:r>
      <w:r w:rsidR="006E3F24" w:rsidRPr="00CB7D29">
        <w:rPr>
          <w:rFonts w:ascii="Times New Roman" w:hAnsi="Times New Roman" w:cs="Times New Roman"/>
          <w:sz w:val="24"/>
          <w:szCs w:val="24"/>
        </w:rPr>
        <w:t xml:space="preserve"> is based on the purpose of being staying </w:t>
      </w:r>
      <w:r w:rsidR="000055DC" w:rsidRPr="00CB7D29">
        <w:rPr>
          <w:rFonts w:ascii="Times New Roman" w:hAnsi="Times New Roman" w:cs="Times New Roman"/>
          <w:sz w:val="24"/>
          <w:szCs w:val="24"/>
        </w:rPr>
        <w:t xml:space="preserve">in </w:t>
      </w:r>
      <w:r w:rsidR="006E3F24" w:rsidRPr="00CB7D29">
        <w:rPr>
          <w:rFonts w:ascii="Times New Roman" w:hAnsi="Times New Roman" w:cs="Times New Roman"/>
          <w:sz w:val="24"/>
          <w:szCs w:val="24"/>
        </w:rPr>
        <w:t>Australia.</w:t>
      </w:r>
      <w:r w:rsidR="000055DC" w:rsidRPr="00CB7D29">
        <w:rPr>
          <w:rFonts w:ascii="Times New Roman" w:hAnsi="Times New Roman" w:cs="Times New Roman"/>
          <w:sz w:val="24"/>
          <w:szCs w:val="24"/>
        </w:rPr>
        <w:t xml:space="preserve"> </w:t>
      </w:r>
      <w:r w:rsidR="00EF398B" w:rsidRPr="00CB7D29">
        <w:rPr>
          <w:rFonts w:ascii="Times New Roman" w:hAnsi="Times New Roman" w:cs="Times New Roman"/>
          <w:sz w:val="24"/>
          <w:szCs w:val="24"/>
        </w:rPr>
        <w:t>To become a resident of Australia, an individual has to demonstrate his or her working and living arrangements are consistent with making a home in Australia</w:t>
      </w:r>
      <w:r w:rsidR="00CB7D29" w:rsidRPr="00CB7D29">
        <w:rPr>
          <w:rFonts w:ascii="Times New Roman" w:hAnsi="Times New Roman" w:cs="Times New Roman"/>
          <w:sz w:val="24"/>
          <w:szCs w:val="24"/>
        </w:rPr>
        <w:t xml:space="preserve"> (Coleman et al., 2013)</w:t>
      </w:r>
      <w:r w:rsidR="00EF398B" w:rsidRPr="00CB7D29">
        <w:rPr>
          <w:rFonts w:ascii="Times New Roman" w:hAnsi="Times New Roman" w:cs="Times New Roman"/>
          <w:sz w:val="24"/>
          <w:szCs w:val="24"/>
        </w:rPr>
        <w:t xml:space="preserve">. It means an individual have developed habits and routines </w:t>
      </w:r>
      <w:r w:rsidR="004F6378" w:rsidRPr="00CB7D29">
        <w:rPr>
          <w:rFonts w:ascii="Times New Roman" w:hAnsi="Times New Roman" w:cs="Times New Roman"/>
          <w:sz w:val="24"/>
          <w:szCs w:val="24"/>
        </w:rPr>
        <w:t xml:space="preserve">in lifestyle which depicts that he or she wants to come to Australia. The individual would not be a tourist or visitor rather working and living </w:t>
      </w:r>
      <w:r w:rsidR="0005449C" w:rsidRPr="00CB7D29">
        <w:rPr>
          <w:rFonts w:ascii="Times New Roman" w:hAnsi="Times New Roman" w:cs="Times New Roman"/>
          <w:sz w:val="24"/>
          <w:szCs w:val="24"/>
        </w:rPr>
        <w:t>there</w:t>
      </w:r>
      <w:r w:rsidR="004F6378" w:rsidRPr="00CB7D29">
        <w:rPr>
          <w:rFonts w:ascii="Times New Roman" w:hAnsi="Times New Roman" w:cs="Times New Roman"/>
          <w:sz w:val="24"/>
          <w:szCs w:val="24"/>
        </w:rPr>
        <w:t xml:space="preserve"> with </w:t>
      </w:r>
      <w:r w:rsidR="0005449C" w:rsidRPr="00CB7D29">
        <w:rPr>
          <w:rFonts w:ascii="Times New Roman" w:hAnsi="Times New Roman" w:cs="Times New Roman"/>
          <w:sz w:val="24"/>
          <w:szCs w:val="24"/>
        </w:rPr>
        <w:t>an</w:t>
      </w:r>
      <w:r w:rsidR="004F6378" w:rsidRPr="00CB7D29">
        <w:rPr>
          <w:rFonts w:ascii="Times New Roman" w:hAnsi="Times New Roman" w:cs="Times New Roman"/>
          <w:sz w:val="24"/>
          <w:szCs w:val="24"/>
        </w:rPr>
        <w:t xml:space="preserve"> intention of settling life.</w:t>
      </w:r>
      <w:r w:rsidR="0005449C" w:rsidRPr="00CB7D29">
        <w:rPr>
          <w:rFonts w:ascii="Times New Roman" w:hAnsi="Times New Roman" w:cs="Times New Roman"/>
          <w:sz w:val="24"/>
          <w:szCs w:val="24"/>
        </w:rPr>
        <w:t xml:space="preserve"> Apart from this, an individual can be resident of Australia for the tax purpose if he or she is living in the country for more than six months in the income year</w:t>
      </w:r>
      <w:r w:rsidR="00432567" w:rsidRPr="00CB7D29">
        <w:rPr>
          <w:rFonts w:ascii="Times New Roman" w:hAnsi="Times New Roman" w:cs="Times New Roman"/>
          <w:sz w:val="24"/>
          <w:szCs w:val="24"/>
        </w:rPr>
        <w:t xml:space="preserve"> and in another country do not have a place to live and intended to become the residence of Australia</w:t>
      </w:r>
      <w:r w:rsidR="00CB7D29" w:rsidRPr="00CB7D29">
        <w:rPr>
          <w:rFonts w:ascii="Times New Roman" w:hAnsi="Times New Roman" w:cs="Times New Roman"/>
          <w:sz w:val="24"/>
          <w:szCs w:val="24"/>
        </w:rPr>
        <w:t xml:space="preserve"> (Woellner, Barkoczy, Murphy, Evans &amp; Pinto, 2016)</w:t>
      </w:r>
      <w:r w:rsidR="00432567" w:rsidRPr="00CB7D29">
        <w:rPr>
          <w:rFonts w:ascii="Times New Roman" w:hAnsi="Times New Roman" w:cs="Times New Roman"/>
          <w:sz w:val="24"/>
          <w:szCs w:val="24"/>
        </w:rPr>
        <w:t xml:space="preserve">. </w:t>
      </w:r>
    </w:p>
    <w:p w:rsidR="00422C9E"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 xml:space="preserve">An individual would not be resident of Australia if he or she is working for seven months and in another country </w:t>
      </w:r>
      <w:r w:rsidR="006C487D" w:rsidRPr="00CB7D29">
        <w:rPr>
          <w:rFonts w:ascii="Times New Roman" w:hAnsi="Times New Roman" w:cs="Times New Roman"/>
          <w:sz w:val="24"/>
          <w:szCs w:val="24"/>
        </w:rPr>
        <w:t>has</w:t>
      </w:r>
      <w:r w:rsidRPr="00CB7D29">
        <w:rPr>
          <w:rFonts w:ascii="Times New Roman" w:hAnsi="Times New Roman" w:cs="Times New Roman"/>
          <w:sz w:val="24"/>
          <w:szCs w:val="24"/>
        </w:rPr>
        <w:t xml:space="preserve"> a </w:t>
      </w:r>
      <w:r w:rsidR="006C487D" w:rsidRPr="00CB7D29">
        <w:rPr>
          <w:rFonts w:ascii="Times New Roman" w:hAnsi="Times New Roman" w:cs="Times New Roman"/>
          <w:sz w:val="24"/>
          <w:szCs w:val="24"/>
        </w:rPr>
        <w:t>home</w:t>
      </w:r>
      <w:r w:rsidRPr="00CB7D29">
        <w:rPr>
          <w:rFonts w:ascii="Times New Roman" w:hAnsi="Times New Roman" w:cs="Times New Roman"/>
          <w:sz w:val="24"/>
          <w:szCs w:val="24"/>
        </w:rPr>
        <w:t xml:space="preserve"> where he or she wanted to return. </w:t>
      </w:r>
      <w:r w:rsidR="006C487D" w:rsidRPr="00CB7D29">
        <w:rPr>
          <w:rFonts w:ascii="Times New Roman" w:hAnsi="Times New Roman" w:cs="Times New Roman"/>
          <w:sz w:val="24"/>
          <w:szCs w:val="24"/>
        </w:rPr>
        <w:t xml:space="preserve">Most of the people who hold holiday and working visas are not intended to stay in Australia rather they enjoy their holiday and </w:t>
      </w:r>
      <w:r w:rsidR="007A36E0" w:rsidRPr="00CB7D29">
        <w:rPr>
          <w:rFonts w:ascii="Times New Roman" w:hAnsi="Times New Roman" w:cs="Times New Roman"/>
          <w:sz w:val="24"/>
          <w:szCs w:val="24"/>
        </w:rPr>
        <w:t xml:space="preserve">work at different places before going back to Australia. </w:t>
      </w:r>
      <w:r w:rsidR="007128A1" w:rsidRPr="00CB7D29">
        <w:rPr>
          <w:rFonts w:ascii="Times New Roman" w:hAnsi="Times New Roman" w:cs="Times New Roman"/>
          <w:sz w:val="24"/>
          <w:szCs w:val="24"/>
        </w:rPr>
        <w:t xml:space="preserve">The behaviour of most of the people is consistent with their purpose while in Australia and they do not want to become the resident. </w:t>
      </w:r>
      <w:r w:rsidR="005457BB" w:rsidRPr="00CB7D29">
        <w:rPr>
          <w:rFonts w:ascii="Times New Roman" w:hAnsi="Times New Roman" w:cs="Times New Roman"/>
          <w:sz w:val="24"/>
          <w:szCs w:val="24"/>
        </w:rPr>
        <w:t>Thus, an individual will be considered as the resident for the tax purpose only when his or her behaviour changes while being in Australia</w:t>
      </w:r>
      <w:r w:rsidR="00CB7D29" w:rsidRPr="00CB7D29">
        <w:rPr>
          <w:rFonts w:ascii="Times New Roman" w:hAnsi="Times New Roman" w:cs="Times New Roman"/>
          <w:sz w:val="24"/>
          <w:szCs w:val="24"/>
        </w:rPr>
        <w:t xml:space="preserve"> </w:t>
      </w:r>
      <w:r w:rsidR="00CB7D29" w:rsidRPr="00CB7D29">
        <w:rPr>
          <w:rFonts w:ascii="Times New Roman" w:hAnsi="Times New Roman" w:cs="Times New Roman"/>
          <w:color w:val="000000"/>
          <w:sz w:val="24"/>
          <w:szCs w:val="24"/>
          <w:shd w:val="clear" w:color="auto" w:fill="FFFFFF"/>
        </w:rPr>
        <w:t>(Barker, 2007)</w:t>
      </w:r>
      <w:r w:rsidR="005457BB" w:rsidRPr="00CB7D29">
        <w:rPr>
          <w:rFonts w:ascii="Times New Roman" w:hAnsi="Times New Roman" w:cs="Times New Roman"/>
          <w:sz w:val="24"/>
          <w:szCs w:val="24"/>
        </w:rPr>
        <w:t xml:space="preserve">. </w:t>
      </w:r>
      <w:r w:rsidR="006D6119" w:rsidRPr="00CB7D29">
        <w:rPr>
          <w:rFonts w:ascii="Times New Roman" w:hAnsi="Times New Roman" w:cs="Times New Roman"/>
          <w:sz w:val="24"/>
          <w:szCs w:val="24"/>
        </w:rPr>
        <w:t xml:space="preserve">For example, an individual decided to work for twelve months and live in one location as well as developing routines related to the social and work arrangements or applied for the permanent visa. </w:t>
      </w:r>
      <w:r w:rsidRPr="00CB7D29">
        <w:rPr>
          <w:rFonts w:ascii="Times New Roman" w:hAnsi="Times New Roman" w:cs="Times New Roman"/>
          <w:sz w:val="24"/>
          <w:szCs w:val="24"/>
        </w:rPr>
        <w:t>The behaviour depicts that an individual wants to become a resident of Australia.</w:t>
      </w:r>
    </w:p>
    <w:p w:rsidR="00F228CC"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 xml:space="preserve">The Australian Taxation Office has provided rules and regulations within which an individual on working holiday visa can be examined whether he or she is the resident of Australia for tax purposes. </w:t>
      </w:r>
      <w:r w:rsidR="007268C4" w:rsidRPr="00CB7D29">
        <w:rPr>
          <w:rFonts w:ascii="Times New Roman" w:hAnsi="Times New Roman" w:cs="Times New Roman"/>
          <w:sz w:val="24"/>
          <w:szCs w:val="24"/>
        </w:rPr>
        <w:t xml:space="preserve">In the given case, Julie was born in Vancouver and she is 22 years old. </w:t>
      </w:r>
      <w:r w:rsidR="00D037D1" w:rsidRPr="00CB7D29">
        <w:rPr>
          <w:rFonts w:ascii="Times New Roman" w:hAnsi="Times New Roman" w:cs="Times New Roman"/>
          <w:sz w:val="24"/>
          <w:szCs w:val="24"/>
        </w:rPr>
        <w:t>She arrived on a twelve-month working holiday visa in Brisbane on 2 September 2015.  She had lived in Canada always with her parents before arriving in Brisbane</w:t>
      </w:r>
      <w:r w:rsidR="00CB7D29" w:rsidRPr="00CB7D29">
        <w:rPr>
          <w:rFonts w:ascii="Times New Roman" w:hAnsi="Times New Roman" w:cs="Times New Roman"/>
          <w:sz w:val="24"/>
          <w:szCs w:val="24"/>
        </w:rPr>
        <w:t xml:space="preserve"> (Amatucci, 2012)</w:t>
      </w:r>
      <w:r w:rsidR="00D037D1" w:rsidRPr="00CB7D29">
        <w:rPr>
          <w:rFonts w:ascii="Times New Roman" w:hAnsi="Times New Roman" w:cs="Times New Roman"/>
          <w:sz w:val="24"/>
          <w:szCs w:val="24"/>
        </w:rPr>
        <w:t xml:space="preserve">. </w:t>
      </w:r>
      <w:r w:rsidR="00AD7E44" w:rsidRPr="00CB7D29">
        <w:rPr>
          <w:rFonts w:ascii="Times New Roman" w:hAnsi="Times New Roman" w:cs="Times New Roman"/>
          <w:sz w:val="24"/>
          <w:szCs w:val="24"/>
        </w:rPr>
        <w:t xml:space="preserve">The main intention of Julie was to save money while travelling. </w:t>
      </w:r>
      <w:r w:rsidR="00A054DF" w:rsidRPr="00CB7D29">
        <w:rPr>
          <w:rFonts w:ascii="Times New Roman" w:hAnsi="Times New Roman" w:cs="Times New Roman"/>
          <w:sz w:val="24"/>
          <w:szCs w:val="24"/>
        </w:rPr>
        <w:t xml:space="preserve"> In Canada, she did not </w:t>
      </w:r>
      <w:r w:rsidR="002D32EF" w:rsidRPr="00CB7D29">
        <w:rPr>
          <w:rFonts w:ascii="Times New Roman" w:hAnsi="Times New Roman" w:cs="Times New Roman"/>
          <w:sz w:val="24"/>
          <w:szCs w:val="24"/>
        </w:rPr>
        <w:t>have</w:t>
      </w:r>
      <w:r w:rsidR="00A054DF" w:rsidRPr="00CB7D29">
        <w:rPr>
          <w:rFonts w:ascii="Times New Roman" w:hAnsi="Times New Roman" w:cs="Times New Roman"/>
          <w:sz w:val="24"/>
          <w:szCs w:val="24"/>
        </w:rPr>
        <w:t xml:space="preserve"> any important assets but had personal possessions such as electronic items and clothes. </w:t>
      </w:r>
      <w:r w:rsidR="002D32EF" w:rsidRPr="00CB7D29">
        <w:rPr>
          <w:rFonts w:ascii="Times New Roman" w:hAnsi="Times New Roman" w:cs="Times New Roman"/>
          <w:sz w:val="24"/>
          <w:szCs w:val="24"/>
        </w:rPr>
        <w:t xml:space="preserve">She had </w:t>
      </w:r>
      <w:r w:rsidR="002D32EF" w:rsidRPr="00CB7D29">
        <w:rPr>
          <w:rFonts w:ascii="Times New Roman" w:hAnsi="Times New Roman" w:cs="Times New Roman"/>
          <w:sz w:val="24"/>
          <w:szCs w:val="24"/>
        </w:rPr>
        <w:lastRenderedPageBreak/>
        <w:t xml:space="preserve">no intention to stay in Australia and worked at different places. </w:t>
      </w:r>
      <w:r w:rsidR="007E7CD5" w:rsidRPr="00CB7D29">
        <w:rPr>
          <w:rFonts w:ascii="Times New Roman" w:hAnsi="Times New Roman" w:cs="Times New Roman"/>
          <w:sz w:val="24"/>
          <w:szCs w:val="24"/>
        </w:rPr>
        <w:t xml:space="preserve">She spent two weeks in Sunshine Coast, Gold Coast and other tourist attractions. </w:t>
      </w:r>
      <w:r w:rsidRPr="00CB7D29">
        <w:rPr>
          <w:rFonts w:ascii="Times New Roman" w:hAnsi="Times New Roman" w:cs="Times New Roman"/>
          <w:sz w:val="24"/>
          <w:szCs w:val="24"/>
        </w:rPr>
        <w:t xml:space="preserve">After that, she moved to Bundaberg to work for three months as a fruit picker. With other backpackers, she lived in a hostel. </w:t>
      </w:r>
    </w:p>
    <w:p w:rsidR="001350F7"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 xml:space="preserve">Julie had worked for earning money and also has the intention to save money. </w:t>
      </w:r>
      <w:r w:rsidR="002404AE" w:rsidRPr="00CB7D29">
        <w:rPr>
          <w:rFonts w:ascii="Times New Roman" w:hAnsi="Times New Roman" w:cs="Times New Roman"/>
          <w:sz w:val="24"/>
          <w:szCs w:val="24"/>
        </w:rPr>
        <w:t xml:space="preserve">She travelled around Western Australia, the Northern Territory and North Queensland for three months with her saving while staying hostels. </w:t>
      </w:r>
      <w:r w:rsidR="00C93845" w:rsidRPr="00CB7D29">
        <w:rPr>
          <w:rFonts w:ascii="Times New Roman" w:hAnsi="Times New Roman" w:cs="Times New Roman"/>
          <w:sz w:val="24"/>
          <w:szCs w:val="24"/>
        </w:rPr>
        <w:t xml:space="preserve">After that, she found a work in the Perth coffee shop. </w:t>
      </w:r>
      <w:r w:rsidR="00EA60DA" w:rsidRPr="00CB7D29">
        <w:rPr>
          <w:rFonts w:ascii="Times New Roman" w:hAnsi="Times New Roman" w:cs="Times New Roman"/>
          <w:sz w:val="24"/>
          <w:szCs w:val="24"/>
        </w:rPr>
        <w:t xml:space="preserve">A rented accommodation was being shared by her with friends. While backpacking, she met these friends and </w:t>
      </w:r>
      <w:r w:rsidR="005E41BF" w:rsidRPr="00CB7D29">
        <w:rPr>
          <w:rFonts w:ascii="Times New Roman" w:hAnsi="Times New Roman" w:cs="Times New Roman"/>
          <w:sz w:val="24"/>
          <w:szCs w:val="24"/>
        </w:rPr>
        <w:t>lives</w:t>
      </w:r>
      <w:r w:rsidR="00EA60DA" w:rsidRPr="00CB7D29">
        <w:rPr>
          <w:rFonts w:ascii="Times New Roman" w:hAnsi="Times New Roman" w:cs="Times New Roman"/>
          <w:sz w:val="24"/>
          <w:szCs w:val="24"/>
        </w:rPr>
        <w:t xml:space="preserve"> for three months in Perth. </w:t>
      </w:r>
      <w:r w:rsidR="005E41BF" w:rsidRPr="00CB7D29">
        <w:rPr>
          <w:rFonts w:ascii="Times New Roman" w:hAnsi="Times New Roman" w:cs="Times New Roman"/>
          <w:sz w:val="24"/>
          <w:szCs w:val="24"/>
        </w:rPr>
        <w:t xml:space="preserve">The case shows Julie was only busy </w:t>
      </w:r>
      <w:r w:rsidR="00905B47" w:rsidRPr="00CB7D29">
        <w:rPr>
          <w:rFonts w:ascii="Times New Roman" w:hAnsi="Times New Roman" w:cs="Times New Roman"/>
          <w:sz w:val="24"/>
          <w:szCs w:val="24"/>
        </w:rPr>
        <w:t xml:space="preserve">in moving from place to another with the intention to work and save money. </w:t>
      </w:r>
      <w:r w:rsidR="00EF4624" w:rsidRPr="00CB7D29">
        <w:rPr>
          <w:rFonts w:ascii="Times New Roman" w:hAnsi="Times New Roman" w:cs="Times New Roman"/>
          <w:sz w:val="24"/>
          <w:szCs w:val="24"/>
        </w:rPr>
        <w:t xml:space="preserve">She decided to return to his home on 16 June 2015 and moved back to Vancouver. </w:t>
      </w:r>
      <w:r w:rsidRPr="00CB7D29">
        <w:rPr>
          <w:rFonts w:ascii="Times New Roman" w:hAnsi="Times New Roman" w:cs="Times New Roman"/>
          <w:sz w:val="24"/>
          <w:szCs w:val="24"/>
        </w:rPr>
        <w:t>She wanted to apply in the United Kingdom for the working holiday and started to work to save money for the next adventure.</w:t>
      </w:r>
    </w:p>
    <w:p w:rsidR="00664A97"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 xml:space="preserve">In Australia, Julie stayed for </w:t>
      </w:r>
      <w:r w:rsidR="00363ACF" w:rsidRPr="00CB7D29">
        <w:rPr>
          <w:rFonts w:ascii="Times New Roman" w:hAnsi="Times New Roman" w:cs="Times New Roman"/>
          <w:sz w:val="24"/>
          <w:szCs w:val="24"/>
        </w:rPr>
        <w:t xml:space="preserve">9 months and her behaviour depicted that she was a visitor. </w:t>
      </w:r>
      <w:r w:rsidR="00434EAC" w:rsidRPr="00CB7D29">
        <w:rPr>
          <w:rFonts w:ascii="Times New Roman" w:hAnsi="Times New Roman" w:cs="Times New Roman"/>
          <w:sz w:val="24"/>
          <w:szCs w:val="24"/>
        </w:rPr>
        <w:t xml:space="preserve">The main purpose of her was to enjoy the holiday, earn money from a different location and also saved money. </w:t>
      </w:r>
      <w:r w:rsidR="00810441" w:rsidRPr="00CB7D29">
        <w:rPr>
          <w:rFonts w:ascii="Times New Roman" w:hAnsi="Times New Roman" w:cs="Times New Roman"/>
          <w:sz w:val="24"/>
          <w:szCs w:val="24"/>
        </w:rPr>
        <w:t xml:space="preserve">While she was in Australia, she </w:t>
      </w:r>
      <w:r w:rsidR="00B71789" w:rsidRPr="00CB7D29">
        <w:rPr>
          <w:rFonts w:ascii="Times New Roman" w:hAnsi="Times New Roman" w:cs="Times New Roman"/>
          <w:sz w:val="24"/>
          <w:szCs w:val="24"/>
        </w:rPr>
        <w:t>had not treated</w:t>
      </w:r>
      <w:r w:rsidR="00810441" w:rsidRPr="00CB7D29">
        <w:rPr>
          <w:rFonts w:ascii="Times New Roman" w:hAnsi="Times New Roman" w:cs="Times New Roman"/>
          <w:sz w:val="24"/>
          <w:szCs w:val="24"/>
        </w:rPr>
        <w:t xml:space="preserve"> any of the </w:t>
      </w:r>
      <w:r w:rsidR="00B71789" w:rsidRPr="00CB7D29">
        <w:rPr>
          <w:rFonts w:ascii="Times New Roman" w:hAnsi="Times New Roman" w:cs="Times New Roman"/>
          <w:sz w:val="24"/>
          <w:szCs w:val="24"/>
        </w:rPr>
        <w:t>places</w:t>
      </w:r>
      <w:r w:rsidR="00F21B02" w:rsidRPr="00CB7D29">
        <w:rPr>
          <w:rFonts w:ascii="Times New Roman" w:hAnsi="Times New Roman" w:cs="Times New Roman"/>
          <w:sz w:val="24"/>
          <w:szCs w:val="24"/>
        </w:rPr>
        <w:t xml:space="preserve"> as if it were her home. </w:t>
      </w:r>
      <w:r w:rsidR="00B71789" w:rsidRPr="00CB7D29">
        <w:rPr>
          <w:rFonts w:ascii="Times New Roman" w:hAnsi="Times New Roman" w:cs="Times New Roman"/>
          <w:sz w:val="24"/>
          <w:szCs w:val="24"/>
        </w:rPr>
        <w:t>Julie returned to her home where she was living before her visit</w:t>
      </w:r>
      <w:r w:rsidR="00CB7D29" w:rsidRPr="00CB7D29">
        <w:rPr>
          <w:rFonts w:ascii="Times New Roman" w:hAnsi="Times New Roman" w:cs="Times New Roman"/>
          <w:sz w:val="24"/>
          <w:szCs w:val="24"/>
        </w:rPr>
        <w:t xml:space="preserve"> (Edwards &amp; Mitchell, 2008)</w:t>
      </w:r>
      <w:r w:rsidR="00B71789" w:rsidRPr="00CB7D29">
        <w:rPr>
          <w:rFonts w:ascii="Times New Roman" w:hAnsi="Times New Roman" w:cs="Times New Roman"/>
          <w:sz w:val="24"/>
          <w:szCs w:val="24"/>
        </w:rPr>
        <w:t xml:space="preserve">. According to the Australian Taxation Law, Julie is considered to be non-resident of Australia.   </w:t>
      </w:r>
      <w:r w:rsidR="00810441" w:rsidRPr="00CB7D29">
        <w:rPr>
          <w:rFonts w:ascii="Times New Roman" w:hAnsi="Times New Roman" w:cs="Times New Roman"/>
          <w:sz w:val="24"/>
          <w:szCs w:val="24"/>
        </w:rPr>
        <w:t xml:space="preserve"> </w:t>
      </w:r>
      <w:r w:rsidR="00434EAC" w:rsidRPr="00CB7D29">
        <w:rPr>
          <w:rFonts w:ascii="Times New Roman" w:hAnsi="Times New Roman" w:cs="Times New Roman"/>
          <w:sz w:val="24"/>
          <w:szCs w:val="24"/>
        </w:rPr>
        <w:t xml:space="preserve"> </w:t>
      </w:r>
      <w:r w:rsidR="00EA60DA" w:rsidRPr="00CB7D29">
        <w:rPr>
          <w:rFonts w:ascii="Times New Roman" w:hAnsi="Times New Roman" w:cs="Times New Roman"/>
          <w:sz w:val="24"/>
          <w:szCs w:val="24"/>
        </w:rPr>
        <w:t xml:space="preserve"> </w:t>
      </w:r>
      <w:r w:rsidR="002404AE" w:rsidRPr="00CB7D29">
        <w:rPr>
          <w:rFonts w:ascii="Times New Roman" w:hAnsi="Times New Roman" w:cs="Times New Roman"/>
          <w:sz w:val="24"/>
          <w:szCs w:val="24"/>
        </w:rPr>
        <w:t xml:space="preserve"> </w:t>
      </w:r>
      <w:r w:rsidR="007E7CD5" w:rsidRPr="00CB7D29">
        <w:rPr>
          <w:rFonts w:ascii="Times New Roman" w:hAnsi="Times New Roman" w:cs="Times New Roman"/>
          <w:sz w:val="24"/>
          <w:szCs w:val="24"/>
        </w:rPr>
        <w:t xml:space="preserve"> </w:t>
      </w:r>
      <w:r w:rsidR="002D32EF" w:rsidRPr="00CB7D29">
        <w:rPr>
          <w:rFonts w:ascii="Times New Roman" w:hAnsi="Times New Roman" w:cs="Times New Roman"/>
          <w:sz w:val="24"/>
          <w:szCs w:val="24"/>
        </w:rPr>
        <w:t xml:space="preserve"> </w:t>
      </w:r>
      <w:r w:rsidR="007268C4" w:rsidRPr="00CB7D29">
        <w:rPr>
          <w:rFonts w:ascii="Times New Roman" w:hAnsi="Times New Roman" w:cs="Times New Roman"/>
          <w:sz w:val="24"/>
          <w:szCs w:val="24"/>
        </w:rPr>
        <w:t xml:space="preserve"> </w:t>
      </w:r>
      <w:r w:rsidR="00422C9E" w:rsidRPr="00CB7D29">
        <w:rPr>
          <w:rFonts w:ascii="Times New Roman" w:hAnsi="Times New Roman" w:cs="Times New Roman"/>
          <w:sz w:val="24"/>
          <w:szCs w:val="24"/>
        </w:rPr>
        <w:t xml:space="preserve">  </w:t>
      </w:r>
      <w:r w:rsidR="006C487D" w:rsidRPr="00CB7D29">
        <w:rPr>
          <w:rFonts w:ascii="Times New Roman" w:hAnsi="Times New Roman" w:cs="Times New Roman"/>
          <w:sz w:val="24"/>
          <w:szCs w:val="24"/>
        </w:rPr>
        <w:t xml:space="preserve"> </w:t>
      </w:r>
      <w:r w:rsidR="00432567" w:rsidRPr="00CB7D29">
        <w:rPr>
          <w:rFonts w:ascii="Times New Roman" w:hAnsi="Times New Roman" w:cs="Times New Roman"/>
          <w:sz w:val="24"/>
          <w:szCs w:val="24"/>
        </w:rPr>
        <w:t xml:space="preserve"> </w:t>
      </w:r>
      <w:r w:rsidR="004F6378" w:rsidRPr="00CB7D29">
        <w:rPr>
          <w:rFonts w:ascii="Times New Roman" w:hAnsi="Times New Roman" w:cs="Times New Roman"/>
          <w:sz w:val="24"/>
          <w:szCs w:val="24"/>
        </w:rPr>
        <w:t xml:space="preserve">  </w:t>
      </w:r>
      <w:r w:rsidR="00EF398B" w:rsidRPr="00CB7D29">
        <w:rPr>
          <w:rFonts w:ascii="Times New Roman" w:hAnsi="Times New Roman" w:cs="Times New Roman"/>
          <w:sz w:val="24"/>
          <w:szCs w:val="24"/>
        </w:rPr>
        <w:t xml:space="preserve"> </w:t>
      </w:r>
      <w:r w:rsidR="006E3F24" w:rsidRPr="00CB7D29">
        <w:rPr>
          <w:rFonts w:ascii="Times New Roman" w:hAnsi="Times New Roman" w:cs="Times New Roman"/>
          <w:sz w:val="24"/>
          <w:szCs w:val="24"/>
        </w:rPr>
        <w:t xml:space="preserve"> </w:t>
      </w:r>
    </w:p>
    <w:p w:rsidR="008900E8" w:rsidRPr="00CB7D29" w:rsidRDefault="006A4934" w:rsidP="00CB7D29">
      <w:pPr>
        <w:pStyle w:val="Heading1"/>
        <w:spacing w:line="360" w:lineRule="auto"/>
        <w:jc w:val="both"/>
        <w:rPr>
          <w:rFonts w:ascii="Times New Roman" w:hAnsi="Times New Roman" w:cs="Times New Roman"/>
          <w:sz w:val="24"/>
          <w:szCs w:val="24"/>
        </w:rPr>
      </w:pPr>
      <w:bookmarkStart w:id="1" w:name="_Toc528691722"/>
      <w:r w:rsidRPr="00CB7D29">
        <w:rPr>
          <w:rFonts w:ascii="Times New Roman" w:hAnsi="Times New Roman" w:cs="Times New Roman"/>
          <w:sz w:val="24"/>
          <w:szCs w:val="24"/>
        </w:rPr>
        <w:t>Assessable income for the year</w:t>
      </w:r>
      <w:bookmarkEnd w:id="1"/>
    </w:p>
    <w:p w:rsidR="0023767D"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 xml:space="preserve">In Australia, if an individual works then he or she has to pay tax on the income earned during a year. The taxpayer has to lodge the tax return which is depended on how much income is being earned in a year. </w:t>
      </w:r>
      <w:r w:rsidR="00730AC4" w:rsidRPr="00CB7D29">
        <w:rPr>
          <w:rFonts w:ascii="Times New Roman" w:hAnsi="Times New Roman" w:cs="Times New Roman"/>
          <w:sz w:val="24"/>
          <w:szCs w:val="24"/>
        </w:rPr>
        <w:t xml:space="preserve">The first </w:t>
      </w:r>
      <w:r w:rsidR="004D2ED6" w:rsidRPr="00CB7D29">
        <w:rPr>
          <w:rFonts w:ascii="Times New Roman" w:hAnsi="Times New Roman" w:cs="Times New Roman"/>
          <w:sz w:val="24"/>
          <w:szCs w:val="24"/>
        </w:rPr>
        <w:t>income up to $37000 of the working holidaymaker is taxed at the rate of 15% and at ordinary rates is</w:t>
      </w:r>
      <w:r w:rsidR="00830EA8" w:rsidRPr="00CB7D29">
        <w:rPr>
          <w:rFonts w:ascii="Times New Roman" w:hAnsi="Times New Roman" w:cs="Times New Roman"/>
          <w:sz w:val="24"/>
          <w:szCs w:val="24"/>
        </w:rPr>
        <w:t xml:space="preserve"> applied for imposing a tax on the balance amount.</w:t>
      </w:r>
      <w:r w:rsidR="004D2ED6" w:rsidRPr="00CB7D29">
        <w:rPr>
          <w:rFonts w:ascii="Times New Roman" w:hAnsi="Times New Roman" w:cs="Times New Roman"/>
          <w:sz w:val="24"/>
          <w:szCs w:val="24"/>
        </w:rPr>
        <w:t xml:space="preserve"> Most of the people who </w:t>
      </w:r>
      <w:r w:rsidR="008B32DE" w:rsidRPr="00CB7D29">
        <w:rPr>
          <w:rFonts w:ascii="Times New Roman" w:hAnsi="Times New Roman" w:cs="Times New Roman"/>
          <w:sz w:val="24"/>
          <w:szCs w:val="24"/>
        </w:rPr>
        <w:t>visit</w:t>
      </w:r>
      <w:r w:rsidR="004D2ED6" w:rsidRPr="00CB7D29">
        <w:rPr>
          <w:rFonts w:ascii="Times New Roman" w:hAnsi="Times New Roman" w:cs="Times New Roman"/>
          <w:sz w:val="24"/>
          <w:szCs w:val="24"/>
        </w:rPr>
        <w:t xml:space="preserve"> for a working holiday in Australia are considered as the foreign residents for the tax </w:t>
      </w:r>
      <w:r w:rsidR="008B32DE" w:rsidRPr="00CB7D29">
        <w:rPr>
          <w:rFonts w:ascii="Times New Roman" w:hAnsi="Times New Roman" w:cs="Times New Roman"/>
          <w:sz w:val="24"/>
          <w:szCs w:val="24"/>
        </w:rPr>
        <w:t>purposes</w:t>
      </w:r>
      <w:r w:rsidR="00CB7D29" w:rsidRPr="00CB7D29">
        <w:rPr>
          <w:rFonts w:ascii="Times New Roman" w:hAnsi="Times New Roman" w:cs="Times New Roman"/>
          <w:sz w:val="24"/>
          <w:szCs w:val="24"/>
        </w:rPr>
        <w:t xml:space="preserve">  (Harvey, 2009)</w:t>
      </w:r>
      <w:r w:rsidR="004D2ED6" w:rsidRPr="00CB7D29">
        <w:rPr>
          <w:rFonts w:ascii="Times New Roman" w:hAnsi="Times New Roman" w:cs="Times New Roman"/>
          <w:sz w:val="24"/>
          <w:szCs w:val="24"/>
        </w:rPr>
        <w:t>.</w:t>
      </w:r>
      <w:r w:rsidR="008B32DE" w:rsidRPr="00CB7D29">
        <w:rPr>
          <w:rFonts w:ascii="Times New Roman" w:hAnsi="Times New Roman" w:cs="Times New Roman"/>
          <w:sz w:val="24"/>
          <w:szCs w:val="24"/>
        </w:rPr>
        <w:t xml:space="preserve"> </w:t>
      </w:r>
      <w:r w:rsidRPr="00CB7D29">
        <w:rPr>
          <w:rFonts w:ascii="Times New Roman" w:hAnsi="Times New Roman" w:cs="Times New Roman"/>
          <w:sz w:val="24"/>
          <w:szCs w:val="24"/>
        </w:rPr>
        <w:t>The amounts that would be included in the assessable income of Julie for the year are as follows:</w:t>
      </w:r>
    </w:p>
    <w:p w:rsidR="00C21770" w:rsidRPr="00CB7D29" w:rsidRDefault="006A4934" w:rsidP="00CB7D29">
      <w:pPr>
        <w:pStyle w:val="ListParagraph"/>
        <w:numPr>
          <w:ilvl w:val="0"/>
          <w:numId w:val="2"/>
        </w:num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In Bundaberg, the salary was paid by the fruit grower for an amount of AUD $6000.</w:t>
      </w:r>
    </w:p>
    <w:p w:rsidR="002B48D4" w:rsidRPr="00CB7D29" w:rsidRDefault="006A4934" w:rsidP="00CB7D29">
      <w:pPr>
        <w:pStyle w:val="ListParagraph"/>
        <w:numPr>
          <w:ilvl w:val="0"/>
          <w:numId w:val="2"/>
        </w:num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The interest on Julie’s Australian bank account of amount $180.</w:t>
      </w:r>
    </w:p>
    <w:p w:rsidR="002B48D4" w:rsidRPr="00CB7D29" w:rsidRDefault="006A4934" w:rsidP="00CB7D29">
      <w:pPr>
        <w:pStyle w:val="ListParagraph"/>
        <w:numPr>
          <w:ilvl w:val="0"/>
          <w:numId w:val="2"/>
        </w:num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t>The sale of the excess sleeping bag, clothing and other personal goods on eBay of amount $220 before leaving Australia.</w:t>
      </w:r>
    </w:p>
    <w:p w:rsidR="00CB7D29" w:rsidRPr="00CB7D29" w:rsidRDefault="006A4934"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lastRenderedPageBreak/>
        <w:t xml:space="preserve">The assessable income consisted of the money earned in Australia by Julie. </w:t>
      </w:r>
      <w:r w:rsidR="00D009D7" w:rsidRPr="00CB7D29">
        <w:rPr>
          <w:rFonts w:ascii="Times New Roman" w:hAnsi="Times New Roman" w:cs="Times New Roman"/>
          <w:sz w:val="24"/>
          <w:szCs w:val="24"/>
        </w:rPr>
        <w:t xml:space="preserve">The income earned in Canada is not considered as assessable income as per the Australian taxation law. </w:t>
      </w:r>
      <w:r w:rsidR="007113B8" w:rsidRPr="00CB7D29">
        <w:rPr>
          <w:rFonts w:ascii="Times New Roman" w:hAnsi="Times New Roman" w:cs="Times New Roman"/>
          <w:sz w:val="24"/>
          <w:szCs w:val="24"/>
        </w:rPr>
        <w:t>Prize worn by Julie is not considered as the Australian Taxation Law. The Australian Taxation Office has directed the rules for considering the assessable income for a working holiday in Australia</w:t>
      </w:r>
      <w:r w:rsidR="00CB7D29" w:rsidRPr="00CB7D29">
        <w:rPr>
          <w:rFonts w:ascii="Times New Roman" w:hAnsi="Times New Roman" w:cs="Times New Roman"/>
          <w:sz w:val="24"/>
          <w:szCs w:val="24"/>
        </w:rPr>
        <w:t xml:space="preserve"> (Patterson, 2009)</w:t>
      </w:r>
      <w:r w:rsidR="007113B8" w:rsidRPr="00CB7D29">
        <w:rPr>
          <w:rFonts w:ascii="Times New Roman" w:hAnsi="Times New Roman" w:cs="Times New Roman"/>
          <w:sz w:val="24"/>
          <w:szCs w:val="24"/>
        </w:rPr>
        <w:t>.</w:t>
      </w:r>
    </w:p>
    <w:p w:rsidR="00CB7D29" w:rsidRPr="00CB7D29" w:rsidRDefault="00CB7D29" w:rsidP="00CB7D29">
      <w:pPr>
        <w:spacing w:line="360" w:lineRule="auto"/>
        <w:jc w:val="both"/>
        <w:rPr>
          <w:rFonts w:ascii="Times New Roman" w:hAnsi="Times New Roman" w:cs="Times New Roman"/>
          <w:sz w:val="24"/>
          <w:szCs w:val="24"/>
        </w:rPr>
      </w:pPr>
      <w:r w:rsidRPr="00CB7D29">
        <w:rPr>
          <w:rFonts w:ascii="Times New Roman" w:hAnsi="Times New Roman" w:cs="Times New Roman"/>
          <w:sz w:val="24"/>
          <w:szCs w:val="24"/>
        </w:rPr>
        <w:br w:type="page"/>
      </w:r>
    </w:p>
    <w:p w:rsidR="00CB7D29" w:rsidRPr="00CB7D29" w:rsidRDefault="00CB7D29" w:rsidP="00CB7D29">
      <w:pPr>
        <w:pStyle w:val="Heading1"/>
        <w:spacing w:line="360" w:lineRule="auto"/>
        <w:jc w:val="both"/>
        <w:rPr>
          <w:rFonts w:ascii="Times New Roman" w:hAnsi="Times New Roman" w:cs="Times New Roman"/>
          <w:sz w:val="24"/>
          <w:szCs w:val="24"/>
        </w:rPr>
      </w:pPr>
      <w:bookmarkStart w:id="2" w:name="_Toc528691723"/>
      <w:r w:rsidRPr="00CB7D29">
        <w:rPr>
          <w:rFonts w:ascii="Times New Roman" w:hAnsi="Times New Roman" w:cs="Times New Roman"/>
          <w:sz w:val="24"/>
          <w:szCs w:val="24"/>
        </w:rPr>
        <w:lastRenderedPageBreak/>
        <w:t>References</w:t>
      </w:r>
      <w:bookmarkEnd w:id="2"/>
    </w:p>
    <w:p w:rsidR="00CB7D29" w:rsidRPr="00CB7D29" w:rsidRDefault="00CB7D29" w:rsidP="00CB7D29">
      <w:pPr>
        <w:pStyle w:val="NormalWeb"/>
        <w:spacing w:before="0" w:beforeAutospacing="0" w:after="180" w:afterAutospacing="0" w:line="360" w:lineRule="auto"/>
        <w:ind w:left="450" w:hanging="450"/>
        <w:jc w:val="both"/>
        <w:rPr>
          <w:color w:val="000000"/>
        </w:rPr>
      </w:pPr>
      <w:r w:rsidRPr="00CB7D29">
        <w:rPr>
          <w:color w:val="000000"/>
        </w:rPr>
        <w:t>Amatucci, A. (2012). </w:t>
      </w:r>
      <w:r w:rsidRPr="00CB7D29">
        <w:rPr>
          <w:i/>
          <w:iCs/>
          <w:color w:val="000000"/>
        </w:rPr>
        <w:t>International tax law</w:t>
      </w:r>
      <w:r w:rsidRPr="00CB7D29">
        <w:rPr>
          <w:color w:val="000000"/>
        </w:rPr>
        <w:t>. Alphen aan den Rijn: Wolters Kluwer.</w:t>
      </w:r>
    </w:p>
    <w:p w:rsidR="00CB7D29" w:rsidRPr="00CB7D29" w:rsidRDefault="00CB7D29" w:rsidP="00CB7D29">
      <w:pPr>
        <w:pStyle w:val="NormalWeb"/>
        <w:spacing w:before="0" w:beforeAutospacing="0" w:after="180" w:afterAutospacing="0" w:line="360" w:lineRule="auto"/>
        <w:ind w:left="450" w:hanging="450"/>
        <w:jc w:val="both"/>
        <w:rPr>
          <w:color w:val="000000"/>
        </w:rPr>
      </w:pPr>
      <w:r w:rsidRPr="00CB7D29">
        <w:rPr>
          <w:color w:val="000000"/>
        </w:rPr>
        <w:t>Barker, D. (2007). </w:t>
      </w:r>
      <w:r w:rsidRPr="00CB7D29">
        <w:rPr>
          <w:i/>
          <w:iCs/>
          <w:color w:val="000000"/>
        </w:rPr>
        <w:t>Essential Australian law</w:t>
      </w:r>
      <w:r w:rsidRPr="00CB7D29">
        <w:rPr>
          <w:color w:val="000000"/>
        </w:rPr>
        <w:t>. Abingdon: Routledge/Cavendish.</w:t>
      </w:r>
    </w:p>
    <w:p w:rsidR="00CB7D29" w:rsidRPr="00CB7D29" w:rsidRDefault="00CB7D29" w:rsidP="00CB7D29">
      <w:pPr>
        <w:pStyle w:val="NormalWeb"/>
        <w:spacing w:before="0" w:beforeAutospacing="0" w:after="180" w:afterAutospacing="0" w:line="360" w:lineRule="auto"/>
        <w:ind w:left="450" w:hanging="450"/>
        <w:jc w:val="both"/>
        <w:rPr>
          <w:color w:val="000000"/>
        </w:rPr>
      </w:pPr>
      <w:r w:rsidRPr="00CB7D29">
        <w:rPr>
          <w:color w:val="000000"/>
        </w:rPr>
        <w:t>Coleman, C., Hart, G., Bondfield, B., McKerchar, M., McLaren, J., Sadiq, K., &amp; Ting, A. (2013). </w:t>
      </w:r>
      <w:r w:rsidRPr="00CB7D29">
        <w:rPr>
          <w:i/>
          <w:iCs/>
          <w:color w:val="000000"/>
        </w:rPr>
        <w:t>Australian tax analysis</w:t>
      </w:r>
      <w:r w:rsidRPr="00CB7D29">
        <w:rPr>
          <w:color w:val="000000"/>
        </w:rPr>
        <w:t>. Pyrmont, N.S.W.: Thomson Reuters (Professional) Australia Limited.</w:t>
      </w:r>
    </w:p>
    <w:p w:rsidR="00CB7D29" w:rsidRPr="00CB7D29" w:rsidRDefault="00CB7D29" w:rsidP="00CB7D29">
      <w:pPr>
        <w:pStyle w:val="NormalWeb"/>
        <w:spacing w:before="0" w:beforeAutospacing="0" w:after="180" w:afterAutospacing="0" w:line="360" w:lineRule="auto"/>
        <w:ind w:left="450" w:hanging="450"/>
        <w:jc w:val="both"/>
        <w:rPr>
          <w:color w:val="000000"/>
        </w:rPr>
      </w:pPr>
      <w:r w:rsidRPr="00CB7D29">
        <w:rPr>
          <w:color w:val="000000"/>
        </w:rPr>
        <w:t>Edwards, C., &amp; Mitchell, D. (2008). </w:t>
      </w:r>
      <w:r w:rsidRPr="00CB7D29">
        <w:rPr>
          <w:i/>
          <w:iCs/>
          <w:color w:val="000000"/>
        </w:rPr>
        <w:t>Global tax revolution</w:t>
      </w:r>
      <w:r w:rsidRPr="00CB7D29">
        <w:rPr>
          <w:color w:val="000000"/>
        </w:rPr>
        <w:t>. Washington, DC: Cato Institute.</w:t>
      </w:r>
    </w:p>
    <w:p w:rsidR="00CB7D29" w:rsidRPr="00CB7D29" w:rsidRDefault="00CB7D29" w:rsidP="00CB7D29">
      <w:pPr>
        <w:pStyle w:val="NormalWeb"/>
        <w:spacing w:before="0" w:beforeAutospacing="0" w:after="180" w:afterAutospacing="0" w:line="360" w:lineRule="auto"/>
        <w:ind w:left="450" w:hanging="450"/>
        <w:jc w:val="both"/>
        <w:rPr>
          <w:color w:val="000000"/>
        </w:rPr>
      </w:pPr>
      <w:r w:rsidRPr="00CB7D29">
        <w:rPr>
          <w:color w:val="000000"/>
        </w:rPr>
        <w:t>Harvey, C. (2009). </w:t>
      </w:r>
      <w:r w:rsidRPr="00CB7D29">
        <w:rPr>
          <w:i/>
          <w:iCs/>
          <w:color w:val="000000"/>
        </w:rPr>
        <w:t>Cornerstones of Australian law</w:t>
      </w:r>
      <w:r w:rsidRPr="00CB7D29">
        <w:rPr>
          <w:color w:val="000000"/>
        </w:rPr>
        <w:t>. Prahran, Vic.: Tilde University Press.</w:t>
      </w:r>
    </w:p>
    <w:p w:rsidR="00CB7D29" w:rsidRPr="00CB7D29" w:rsidRDefault="00CB7D29" w:rsidP="00CB7D29">
      <w:pPr>
        <w:pStyle w:val="NormalWeb"/>
        <w:spacing w:before="0" w:beforeAutospacing="0" w:after="180" w:afterAutospacing="0" w:line="360" w:lineRule="auto"/>
        <w:ind w:left="450" w:hanging="450"/>
        <w:jc w:val="both"/>
        <w:rPr>
          <w:color w:val="000000"/>
        </w:rPr>
      </w:pPr>
      <w:r w:rsidRPr="00CB7D29">
        <w:rPr>
          <w:color w:val="000000"/>
        </w:rPr>
        <w:t>Patterson, D. (2009). </w:t>
      </w:r>
      <w:r w:rsidRPr="00CB7D29">
        <w:rPr>
          <w:i/>
          <w:iCs/>
          <w:color w:val="000000"/>
        </w:rPr>
        <w:t>Tax</w:t>
      </w:r>
      <w:r w:rsidRPr="00CB7D29">
        <w:rPr>
          <w:color w:val="000000"/>
        </w:rPr>
        <w:t>. [Wellington, N.Z.]: NZLS, Family Law Section and Property Law Section.</w:t>
      </w:r>
    </w:p>
    <w:p w:rsidR="00CB7D29" w:rsidRPr="00CB7D29" w:rsidRDefault="00CB7D29" w:rsidP="00CB7D29">
      <w:pPr>
        <w:pStyle w:val="NormalWeb"/>
        <w:spacing w:before="0" w:beforeAutospacing="0" w:after="180" w:afterAutospacing="0" w:line="360" w:lineRule="auto"/>
        <w:ind w:left="450" w:hanging="450"/>
        <w:jc w:val="both"/>
        <w:rPr>
          <w:color w:val="000000"/>
        </w:rPr>
      </w:pPr>
      <w:r w:rsidRPr="00CB7D29">
        <w:rPr>
          <w:color w:val="000000"/>
        </w:rPr>
        <w:t>Woellner, R., Barkoczy, S., Murphy, S., Evans, C., &amp; Pinto, D. (2016). </w:t>
      </w:r>
      <w:r w:rsidRPr="00CB7D29">
        <w:rPr>
          <w:i/>
          <w:iCs/>
          <w:color w:val="000000"/>
        </w:rPr>
        <w:t>Australian Taxation Law 2016</w:t>
      </w:r>
      <w:r w:rsidRPr="00CB7D29">
        <w:rPr>
          <w:color w:val="000000"/>
        </w:rPr>
        <w:t>. Melbourne, Vic.: Oxford University Press.</w:t>
      </w:r>
    </w:p>
    <w:p w:rsidR="002B48D4" w:rsidRPr="00CB7D29" w:rsidRDefault="002B48D4" w:rsidP="00CB7D29">
      <w:pPr>
        <w:spacing w:line="360" w:lineRule="auto"/>
        <w:jc w:val="both"/>
        <w:rPr>
          <w:rFonts w:ascii="Times New Roman" w:hAnsi="Times New Roman" w:cs="Times New Roman"/>
          <w:sz w:val="24"/>
          <w:szCs w:val="24"/>
        </w:rPr>
      </w:pPr>
    </w:p>
    <w:sectPr w:rsidR="002B48D4" w:rsidRPr="00CB7D29" w:rsidSect="008900E8">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119" w:rsidRDefault="00E34119" w:rsidP="005673E7">
      <w:pPr>
        <w:spacing w:after="0" w:line="240" w:lineRule="auto"/>
      </w:pPr>
      <w:r>
        <w:separator/>
      </w:r>
    </w:p>
  </w:endnote>
  <w:endnote w:type="continuationSeparator" w:id="1">
    <w:p w:rsidR="00E34119" w:rsidRDefault="00E34119" w:rsidP="00567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67"/>
      <w:docPartObj>
        <w:docPartGallery w:val="Page Numbers (Bottom of Page)"/>
        <w:docPartUnique/>
      </w:docPartObj>
    </w:sdtPr>
    <w:sdtContent>
      <w:p w:rsidR="008B32DE" w:rsidRDefault="00196606">
        <w:pPr>
          <w:pStyle w:val="Footer"/>
          <w:jc w:val="right"/>
        </w:pPr>
        <w:r>
          <w:fldChar w:fldCharType="begin"/>
        </w:r>
        <w:r w:rsidR="006A4934">
          <w:instrText xml:space="preserve"> PAGE   \* MERGEFORMAT </w:instrText>
        </w:r>
        <w:r>
          <w:fldChar w:fldCharType="separate"/>
        </w:r>
        <w:r w:rsidR="00244060">
          <w:rPr>
            <w:noProof/>
          </w:rPr>
          <w:t>5</w:t>
        </w:r>
        <w:r>
          <w:rPr>
            <w:noProof/>
          </w:rPr>
          <w:fldChar w:fldCharType="end"/>
        </w:r>
      </w:p>
    </w:sdtContent>
  </w:sdt>
  <w:p w:rsidR="008B32DE" w:rsidRDefault="008B3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119" w:rsidRDefault="00E34119" w:rsidP="005673E7">
      <w:pPr>
        <w:spacing w:after="0" w:line="240" w:lineRule="auto"/>
      </w:pPr>
      <w:r>
        <w:separator/>
      </w:r>
    </w:p>
  </w:footnote>
  <w:footnote w:type="continuationSeparator" w:id="1">
    <w:p w:rsidR="00E34119" w:rsidRDefault="00E34119" w:rsidP="00567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A3821"/>
    <w:multiLevelType w:val="hybridMultilevel"/>
    <w:tmpl w:val="14B85B00"/>
    <w:lvl w:ilvl="0" w:tplc="9BAC8BBE">
      <w:start w:val="1"/>
      <w:numFmt w:val="bullet"/>
      <w:lvlText w:val=""/>
      <w:lvlJc w:val="left"/>
      <w:pPr>
        <w:ind w:left="720" w:hanging="360"/>
      </w:pPr>
      <w:rPr>
        <w:rFonts w:ascii="Symbol" w:hAnsi="Symbol" w:hint="default"/>
      </w:rPr>
    </w:lvl>
    <w:lvl w:ilvl="1" w:tplc="8408914E" w:tentative="1">
      <w:start w:val="1"/>
      <w:numFmt w:val="bullet"/>
      <w:lvlText w:val="o"/>
      <w:lvlJc w:val="left"/>
      <w:pPr>
        <w:ind w:left="1440" w:hanging="360"/>
      </w:pPr>
      <w:rPr>
        <w:rFonts w:ascii="Courier New" w:hAnsi="Courier New" w:cs="Courier New" w:hint="default"/>
      </w:rPr>
    </w:lvl>
    <w:lvl w:ilvl="2" w:tplc="FE36E236" w:tentative="1">
      <w:start w:val="1"/>
      <w:numFmt w:val="bullet"/>
      <w:lvlText w:val=""/>
      <w:lvlJc w:val="left"/>
      <w:pPr>
        <w:ind w:left="2160" w:hanging="360"/>
      </w:pPr>
      <w:rPr>
        <w:rFonts w:ascii="Wingdings" w:hAnsi="Wingdings" w:hint="default"/>
      </w:rPr>
    </w:lvl>
    <w:lvl w:ilvl="3" w:tplc="D494D82C" w:tentative="1">
      <w:start w:val="1"/>
      <w:numFmt w:val="bullet"/>
      <w:lvlText w:val=""/>
      <w:lvlJc w:val="left"/>
      <w:pPr>
        <w:ind w:left="2880" w:hanging="360"/>
      </w:pPr>
      <w:rPr>
        <w:rFonts w:ascii="Symbol" w:hAnsi="Symbol" w:hint="default"/>
      </w:rPr>
    </w:lvl>
    <w:lvl w:ilvl="4" w:tplc="BE5ED688" w:tentative="1">
      <w:start w:val="1"/>
      <w:numFmt w:val="bullet"/>
      <w:lvlText w:val="o"/>
      <w:lvlJc w:val="left"/>
      <w:pPr>
        <w:ind w:left="3600" w:hanging="360"/>
      </w:pPr>
      <w:rPr>
        <w:rFonts w:ascii="Courier New" w:hAnsi="Courier New" w:cs="Courier New" w:hint="default"/>
      </w:rPr>
    </w:lvl>
    <w:lvl w:ilvl="5" w:tplc="95DA57A8" w:tentative="1">
      <w:start w:val="1"/>
      <w:numFmt w:val="bullet"/>
      <w:lvlText w:val=""/>
      <w:lvlJc w:val="left"/>
      <w:pPr>
        <w:ind w:left="4320" w:hanging="360"/>
      </w:pPr>
      <w:rPr>
        <w:rFonts w:ascii="Wingdings" w:hAnsi="Wingdings" w:hint="default"/>
      </w:rPr>
    </w:lvl>
    <w:lvl w:ilvl="6" w:tplc="261675A0" w:tentative="1">
      <w:start w:val="1"/>
      <w:numFmt w:val="bullet"/>
      <w:lvlText w:val=""/>
      <w:lvlJc w:val="left"/>
      <w:pPr>
        <w:ind w:left="5040" w:hanging="360"/>
      </w:pPr>
      <w:rPr>
        <w:rFonts w:ascii="Symbol" w:hAnsi="Symbol" w:hint="default"/>
      </w:rPr>
    </w:lvl>
    <w:lvl w:ilvl="7" w:tplc="E35AA0FC" w:tentative="1">
      <w:start w:val="1"/>
      <w:numFmt w:val="bullet"/>
      <w:lvlText w:val="o"/>
      <w:lvlJc w:val="left"/>
      <w:pPr>
        <w:ind w:left="5760" w:hanging="360"/>
      </w:pPr>
      <w:rPr>
        <w:rFonts w:ascii="Courier New" w:hAnsi="Courier New" w:cs="Courier New" w:hint="default"/>
      </w:rPr>
    </w:lvl>
    <w:lvl w:ilvl="8" w:tplc="7EF629FA" w:tentative="1">
      <w:start w:val="1"/>
      <w:numFmt w:val="bullet"/>
      <w:lvlText w:val=""/>
      <w:lvlJc w:val="left"/>
      <w:pPr>
        <w:ind w:left="6480" w:hanging="360"/>
      </w:pPr>
      <w:rPr>
        <w:rFonts w:ascii="Wingdings" w:hAnsi="Wingdings" w:hint="default"/>
      </w:rPr>
    </w:lvl>
  </w:abstractNum>
  <w:abstractNum w:abstractNumId="1">
    <w:nsid w:val="4D0D248B"/>
    <w:multiLevelType w:val="hybridMultilevel"/>
    <w:tmpl w:val="483442E8"/>
    <w:lvl w:ilvl="0" w:tplc="2BF60186">
      <w:start w:val="1"/>
      <w:numFmt w:val="bullet"/>
      <w:lvlText w:val=""/>
      <w:lvlJc w:val="left"/>
      <w:pPr>
        <w:ind w:left="1155" w:hanging="360"/>
      </w:pPr>
      <w:rPr>
        <w:rFonts w:ascii="Symbol" w:hAnsi="Symbol" w:hint="default"/>
      </w:rPr>
    </w:lvl>
    <w:lvl w:ilvl="1" w:tplc="F38E4614" w:tentative="1">
      <w:start w:val="1"/>
      <w:numFmt w:val="bullet"/>
      <w:lvlText w:val="o"/>
      <w:lvlJc w:val="left"/>
      <w:pPr>
        <w:ind w:left="1875" w:hanging="360"/>
      </w:pPr>
      <w:rPr>
        <w:rFonts w:ascii="Courier New" w:hAnsi="Courier New" w:cs="Courier New" w:hint="default"/>
      </w:rPr>
    </w:lvl>
    <w:lvl w:ilvl="2" w:tplc="CB868BD2" w:tentative="1">
      <w:start w:val="1"/>
      <w:numFmt w:val="bullet"/>
      <w:lvlText w:val=""/>
      <w:lvlJc w:val="left"/>
      <w:pPr>
        <w:ind w:left="2595" w:hanging="360"/>
      </w:pPr>
      <w:rPr>
        <w:rFonts w:ascii="Wingdings" w:hAnsi="Wingdings" w:hint="default"/>
      </w:rPr>
    </w:lvl>
    <w:lvl w:ilvl="3" w:tplc="6C6ABE52" w:tentative="1">
      <w:start w:val="1"/>
      <w:numFmt w:val="bullet"/>
      <w:lvlText w:val=""/>
      <w:lvlJc w:val="left"/>
      <w:pPr>
        <w:ind w:left="3315" w:hanging="360"/>
      </w:pPr>
      <w:rPr>
        <w:rFonts w:ascii="Symbol" w:hAnsi="Symbol" w:hint="default"/>
      </w:rPr>
    </w:lvl>
    <w:lvl w:ilvl="4" w:tplc="DC9E36A0" w:tentative="1">
      <w:start w:val="1"/>
      <w:numFmt w:val="bullet"/>
      <w:lvlText w:val="o"/>
      <w:lvlJc w:val="left"/>
      <w:pPr>
        <w:ind w:left="4035" w:hanging="360"/>
      </w:pPr>
      <w:rPr>
        <w:rFonts w:ascii="Courier New" w:hAnsi="Courier New" w:cs="Courier New" w:hint="default"/>
      </w:rPr>
    </w:lvl>
    <w:lvl w:ilvl="5" w:tplc="E2DA8BF4" w:tentative="1">
      <w:start w:val="1"/>
      <w:numFmt w:val="bullet"/>
      <w:lvlText w:val=""/>
      <w:lvlJc w:val="left"/>
      <w:pPr>
        <w:ind w:left="4755" w:hanging="360"/>
      </w:pPr>
      <w:rPr>
        <w:rFonts w:ascii="Wingdings" w:hAnsi="Wingdings" w:hint="default"/>
      </w:rPr>
    </w:lvl>
    <w:lvl w:ilvl="6" w:tplc="7DD28670" w:tentative="1">
      <w:start w:val="1"/>
      <w:numFmt w:val="bullet"/>
      <w:lvlText w:val=""/>
      <w:lvlJc w:val="left"/>
      <w:pPr>
        <w:ind w:left="5475" w:hanging="360"/>
      </w:pPr>
      <w:rPr>
        <w:rFonts w:ascii="Symbol" w:hAnsi="Symbol" w:hint="default"/>
      </w:rPr>
    </w:lvl>
    <w:lvl w:ilvl="7" w:tplc="19C05CBE" w:tentative="1">
      <w:start w:val="1"/>
      <w:numFmt w:val="bullet"/>
      <w:lvlText w:val="o"/>
      <w:lvlJc w:val="left"/>
      <w:pPr>
        <w:ind w:left="6195" w:hanging="360"/>
      </w:pPr>
      <w:rPr>
        <w:rFonts w:ascii="Courier New" w:hAnsi="Courier New" w:cs="Courier New" w:hint="default"/>
      </w:rPr>
    </w:lvl>
    <w:lvl w:ilvl="8" w:tplc="50BE0904" w:tentative="1">
      <w:start w:val="1"/>
      <w:numFmt w:val="bullet"/>
      <w:lvlText w:val=""/>
      <w:lvlJc w:val="left"/>
      <w:pPr>
        <w:ind w:left="69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0676"/>
    <w:rsid w:val="000055DC"/>
    <w:rsid w:val="0005449C"/>
    <w:rsid w:val="00075383"/>
    <w:rsid w:val="001350F7"/>
    <w:rsid w:val="00196606"/>
    <w:rsid w:val="001B5886"/>
    <w:rsid w:val="0023767D"/>
    <w:rsid w:val="002404AE"/>
    <w:rsid w:val="00244060"/>
    <w:rsid w:val="00287C89"/>
    <w:rsid w:val="002B48D4"/>
    <w:rsid w:val="002D32EF"/>
    <w:rsid w:val="00363ACF"/>
    <w:rsid w:val="003760FB"/>
    <w:rsid w:val="00422C9E"/>
    <w:rsid w:val="00432567"/>
    <w:rsid w:val="00434EAC"/>
    <w:rsid w:val="004D2ED6"/>
    <w:rsid w:val="004F6378"/>
    <w:rsid w:val="00514207"/>
    <w:rsid w:val="005457BB"/>
    <w:rsid w:val="005673E7"/>
    <w:rsid w:val="005902E9"/>
    <w:rsid w:val="005E41BF"/>
    <w:rsid w:val="00653EE2"/>
    <w:rsid w:val="00664A97"/>
    <w:rsid w:val="006A4934"/>
    <w:rsid w:val="006C487D"/>
    <w:rsid w:val="006D6119"/>
    <w:rsid w:val="006E3F24"/>
    <w:rsid w:val="007113B8"/>
    <w:rsid w:val="007128A1"/>
    <w:rsid w:val="00714A11"/>
    <w:rsid w:val="007268C4"/>
    <w:rsid w:val="00730AC4"/>
    <w:rsid w:val="007607BD"/>
    <w:rsid w:val="007A36E0"/>
    <w:rsid w:val="007B1449"/>
    <w:rsid w:val="007E7CD5"/>
    <w:rsid w:val="00810441"/>
    <w:rsid w:val="00830EA8"/>
    <w:rsid w:val="00852294"/>
    <w:rsid w:val="008900E8"/>
    <w:rsid w:val="008B32DE"/>
    <w:rsid w:val="008E377A"/>
    <w:rsid w:val="00905B47"/>
    <w:rsid w:val="00993CAF"/>
    <w:rsid w:val="00A054DF"/>
    <w:rsid w:val="00A45156"/>
    <w:rsid w:val="00AB410F"/>
    <w:rsid w:val="00AD7E44"/>
    <w:rsid w:val="00B071A7"/>
    <w:rsid w:val="00B71789"/>
    <w:rsid w:val="00C21770"/>
    <w:rsid w:val="00C80676"/>
    <w:rsid w:val="00C93845"/>
    <w:rsid w:val="00CB7D29"/>
    <w:rsid w:val="00D009D7"/>
    <w:rsid w:val="00D037D1"/>
    <w:rsid w:val="00E34119"/>
    <w:rsid w:val="00EA60DA"/>
    <w:rsid w:val="00EF398B"/>
    <w:rsid w:val="00EF4624"/>
    <w:rsid w:val="00F21B02"/>
    <w:rsid w:val="00F228CC"/>
    <w:rsid w:val="00F267A2"/>
    <w:rsid w:val="00FE2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FB"/>
  </w:style>
  <w:style w:type="paragraph" w:styleId="Heading1">
    <w:name w:val="heading 1"/>
    <w:basedOn w:val="Normal"/>
    <w:next w:val="Normal"/>
    <w:link w:val="Heading1Char"/>
    <w:uiPriority w:val="9"/>
    <w:qFormat/>
    <w:rsid w:val="00890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7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0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E8"/>
  </w:style>
  <w:style w:type="paragraph" w:styleId="Footer">
    <w:name w:val="footer"/>
    <w:basedOn w:val="Normal"/>
    <w:link w:val="FooterChar"/>
    <w:uiPriority w:val="99"/>
    <w:unhideWhenUsed/>
    <w:rsid w:val="008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E8"/>
  </w:style>
  <w:style w:type="character" w:customStyle="1" w:styleId="Heading1Char">
    <w:name w:val="Heading 1 Char"/>
    <w:basedOn w:val="DefaultParagraphFont"/>
    <w:link w:val="Heading1"/>
    <w:uiPriority w:val="9"/>
    <w:rsid w:val="008900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900E8"/>
    <w:pPr>
      <w:outlineLvl w:val="9"/>
    </w:pPr>
    <w:rPr>
      <w:lang w:val="en-US"/>
    </w:rPr>
  </w:style>
  <w:style w:type="paragraph" w:styleId="BalloonText">
    <w:name w:val="Balloon Text"/>
    <w:basedOn w:val="Normal"/>
    <w:link w:val="BalloonTextChar"/>
    <w:uiPriority w:val="99"/>
    <w:semiHidden/>
    <w:unhideWhenUsed/>
    <w:rsid w:val="0089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E8"/>
    <w:rPr>
      <w:rFonts w:ascii="Tahoma" w:hAnsi="Tahoma" w:cs="Tahoma"/>
      <w:sz w:val="16"/>
      <w:szCs w:val="16"/>
    </w:rPr>
  </w:style>
  <w:style w:type="paragraph" w:styleId="ListParagraph">
    <w:name w:val="List Paragraph"/>
    <w:basedOn w:val="Normal"/>
    <w:uiPriority w:val="34"/>
    <w:qFormat/>
    <w:rsid w:val="00993CAF"/>
    <w:pPr>
      <w:ind w:left="720"/>
      <w:contextualSpacing/>
    </w:pPr>
  </w:style>
  <w:style w:type="character" w:customStyle="1" w:styleId="Heading2Char">
    <w:name w:val="Heading 2 Char"/>
    <w:basedOn w:val="DefaultParagraphFont"/>
    <w:link w:val="Heading2"/>
    <w:uiPriority w:val="9"/>
    <w:semiHidden/>
    <w:rsid w:val="00CB7D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7D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OC1">
    <w:name w:val="toc 1"/>
    <w:basedOn w:val="Normal"/>
    <w:next w:val="Normal"/>
    <w:autoRedefine/>
    <w:uiPriority w:val="39"/>
    <w:unhideWhenUsed/>
    <w:rsid w:val="00CB7D29"/>
    <w:pPr>
      <w:spacing w:after="100"/>
    </w:pPr>
  </w:style>
  <w:style w:type="character" w:styleId="Hyperlink">
    <w:name w:val="Hyperlink"/>
    <w:basedOn w:val="DefaultParagraphFont"/>
    <w:uiPriority w:val="99"/>
    <w:unhideWhenUsed/>
    <w:rsid w:val="00CB7D29"/>
    <w:rPr>
      <w:color w:val="0000FF" w:themeColor="hyperlink"/>
      <w:u w:val="single"/>
    </w:rPr>
  </w:style>
  <w:style w:type="paragraph" w:styleId="Title">
    <w:name w:val="Title"/>
    <w:basedOn w:val="Normal"/>
    <w:next w:val="Normal"/>
    <w:link w:val="TitleChar"/>
    <w:uiPriority w:val="10"/>
    <w:qFormat/>
    <w:rsid w:val="00CB7D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D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851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0858-3969-4F84-844B-93155FB4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Ankush SEO</cp:lastModifiedBy>
  <cp:revision>2</cp:revision>
  <dcterms:created xsi:type="dcterms:W3CDTF">2020-01-11T05:38:00Z</dcterms:created>
  <dcterms:modified xsi:type="dcterms:W3CDTF">2020-01-11T05:38:00Z</dcterms:modified>
</cp:coreProperties>
</file>