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63" w:rsidRDefault="00C21863" w:rsidP="00EA7509"/>
    <w:p w:rsidR="00C02ADA" w:rsidRDefault="00C02ADA" w:rsidP="00CC460B">
      <w:pPr>
        <w:ind w:firstLine="720"/>
      </w:pPr>
    </w:p>
    <w:p w:rsidR="00C02ADA" w:rsidRDefault="00C02ADA" w:rsidP="00EA7509"/>
    <w:p w:rsidR="00C02ADA" w:rsidRDefault="00C02ADA" w:rsidP="00EA7509"/>
    <w:p w:rsidR="00C02ADA" w:rsidRDefault="00C02ADA" w:rsidP="00EA7509"/>
    <w:p w:rsidR="00C02ADA" w:rsidRDefault="00C02ADA" w:rsidP="002632F2">
      <w:pPr>
        <w:jc w:val="center"/>
      </w:pPr>
    </w:p>
    <w:p w:rsidR="00CC32B0" w:rsidRDefault="00AB25EA" w:rsidP="002632F2">
      <w:pPr>
        <w:jc w:val="center"/>
      </w:pPr>
      <w:r w:rsidRPr="00AB25EA">
        <w:t xml:space="preserve">Case study  </w:t>
      </w:r>
    </w:p>
    <w:p w:rsidR="00C02ADA" w:rsidRDefault="00C02ADA" w:rsidP="002632F2">
      <w:pPr>
        <w:jc w:val="center"/>
      </w:pPr>
      <w:r>
        <w:t>Student Name</w:t>
      </w:r>
    </w:p>
    <w:p w:rsidR="00C02ADA" w:rsidRDefault="00495F00" w:rsidP="002632F2">
      <w:pPr>
        <w:jc w:val="center"/>
      </w:pPr>
      <w:r>
        <w:t>Central College</w:t>
      </w:r>
    </w:p>
    <w:p w:rsidR="00C02ADA" w:rsidRDefault="00C02ADA" w:rsidP="00C02ADA"/>
    <w:p w:rsidR="00495F13" w:rsidRDefault="00495F13" w:rsidP="00C02ADA"/>
    <w:p w:rsidR="00495F13" w:rsidRDefault="00495F13" w:rsidP="00C02ADA"/>
    <w:p w:rsidR="001810E0" w:rsidRDefault="001810E0">
      <w:r>
        <w:br w:type="page"/>
      </w:r>
    </w:p>
    <w:sdt>
      <w:sdtPr>
        <w:rPr>
          <w:rFonts w:ascii="Arial" w:eastAsiaTheme="minorHAnsi" w:hAnsi="Arial" w:cstheme="minorBidi"/>
          <w:color w:val="auto"/>
          <w:sz w:val="22"/>
          <w:szCs w:val="22"/>
        </w:rPr>
        <w:id w:val="-881019587"/>
        <w:docPartObj>
          <w:docPartGallery w:val="Table of Contents"/>
          <w:docPartUnique/>
        </w:docPartObj>
      </w:sdtPr>
      <w:sdtEndPr>
        <w:rPr>
          <w:b/>
          <w:bCs/>
          <w:noProof/>
        </w:rPr>
      </w:sdtEndPr>
      <w:sdtContent>
        <w:p w:rsidR="00906654" w:rsidRPr="00906654" w:rsidRDefault="00906654">
          <w:pPr>
            <w:pStyle w:val="TOCHeading"/>
            <w:rPr>
              <w:sz w:val="24"/>
            </w:rPr>
          </w:pPr>
          <w:r w:rsidRPr="00906654">
            <w:rPr>
              <w:sz w:val="28"/>
            </w:rPr>
            <w:t>Table of Contents</w:t>
          </w:r>
        </w:p>
        <w:p w:rsidR="00906654" w:rsidRPr="00906654" w:rsidRDefault="00906654">
          <w:pPr>
            <w:pStyle w:val="TOC1"/>
            <w:tabs>
              <w:tab w:val="right" w:leader="dot" w:pos="9350"/>
            </w:tabs>
            <w:rPr>
              <w:rFonts w:asciiTheme="minorHAnsi" w:eastAsiaTheme="minorEastAsia" w:hAnsiTheme="minorHAnsi"/>
              <w:noProof/>
              <w:sz w:val="20"/>
            </w:rPr>
          </w:pPr>
          <w:r w:rsidRPr="00906654">
            <w:rPr>
              <w:sz w:val="20"/>
            </w:rPr>
            <w:fldChar w:fldCharType="begin"/>
          </w:r>
          <w:r w:rsidRPr="00906654">
            <w:rPr>
              <w:sz w:val="20"/>
            </w:rPr>
            <w:instrText xml:space="preserve"> TOC \o "1-3" \h \z \u </w:instrText>
          </w:r>
          <w:r w:rsidRPr="00906654">
            <w:rPr>
              <w:sz w:val="20"/>
            </w:rPr>
            <w:fldChar w:fldCharType="separate"/>
          </w:r>
          <w:hyperlink w:anchor="_Toc448030077" w:history="1">
            <w:r w:rsidRPr="00906654">
              <w:rPr>
                <w:rStyle w:val="Hyperlink"/>
                <w:noProof/>
                <w:sz w:val="20"/>
              </w:rPr>
              <w:t>Answer 1</w:t>
            </w:r>
            <w:r w:rsidRPr="00906654">
              <w:rPr>
                <w:noProof/>
                <w:webHidden/>
                <w:sz w:val="20"/>
              </w:rPr>
              <w:tab/>
            </w:r>
            <w:r w:rsidRPr="00906654">
              <w:rPr>
                <w:noProof/>
                <w:webHidden/>
                <w:sz w:val="20"/>
              </w:rPr>
              <w:fldChar w:fldCharType="begin"/>
            </w:r>
            <w:r w:rsidRPr="00906654">
              <w:rPr>
                <w:noProof/>
                <w:webHidden/>
                <w:sz w:val="20"/>
              </w:rPr>
              <w:instrText xml:space="preserve"> PAGEREF _Toc448030077 \h </w:instrText>
            </w:r>
            <w:r w:rsidRPr="00906654">
              <w:rPr>
                <w:noProof/>
                <w:webHidden/>
                <w:sz w:val="20"/>
              </w:rPr>
            </w:r>
            <w:r w:rsidRPr="00906654">
              <w:rPr>
                <w:noProof/>
                <w:webHidden/>
                <w:sz w:val="20"/>
              </w:rPr>
              <w:fldChar w:fldCharType="separate"/>
            </w:r>
            <w:r w:rsidRPr="00906654">
              <w:rPr>
                <w:noProof/>
                <w:webHidden/>
                <w:sz w:val="20"/>
              </w:rPr>
              <w:t>3</w:t>
            </w:r>
            <w:r w:rsidRPr="00906654">
              <w:rPr>
                <w:noProof/>
                <w:webHidden/>
                <w:sz w:val="20"/>
              </w:rPr>
              <w:fldChar w:fldCharType="end"/>
            </w:r>
          </w:hyperlink>
        </w:p>
        <w:p w:rsidR="00906654" w:rsidRPr="00906654" w:rsidRDefault="006902CB">
          <w:pPr>
            <w:pStyle w:val="TOC2"/>
            <w:tabs>
              <w:tab w:val="right" w:leader="dot" w:pos="9350"/>
            </w:tabs>
            <w:rPr>
              <w:rFonts w:asciiTheme="minorHAnsi" w:eastAsiaTheme="minorEastAsia" w:hAnsiTheme="minorHAnsi"/>
              <w:noProof/>
              <w:sz w:val="20"/>
            </w:rPr>
          </w:pPr>
          <w:hyperlink w:anchor="_Toc448030078" w:history="1">
            <w:r w:rsidR="00906654" w:rsidRPr="00906654">
              <w:rPr>
                <w:rStyle w:val="Hyperlink"/>
                <w:noProof/>
                <w:sz w:val="20"/>
              </w:rPr>
              <w:t>Part A</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_Toc448030078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3</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79" w:history="1">
            <w:r w:rsidR="00906654" w:rsidRPr="00906654">
              <w:rPr>
                <w:rStyle w:val="Hyperlink"/>
                <w:noProof/>
                <w:sz w:val="20"/>
              </w:rPr>
              <w:t>Current ratio</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_Toc448030079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3</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0" w:history="1">
            <w:r w:rsidR="00906654" w:rsidRPr="00906654">
              <w:rPr>
                <w:rStyle w:val="Hyperlink"/>
                <w:noProof/>
                <w:sz w:val="20"/>
              </w:rPr>
              <w:t>Quick ratio:</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_Toc448030080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4</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1" w:history="1">
            <w:r w:rsidR="00906654" w:rsidRPr="00906654">
              <w:rPr>
                <w:rStyle w:val="Hyperlink"/>
                <w:noProof/>
                <w:sz w:val="20"/>
              </w:rPr>
              <w:t>Long Term debt/Equity</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_Toc448030081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5</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2" w:history="1">
            <w:r w:rsidR="00906654" w:rsidRPr="00906654">
              <w:rPr>
                <w:rStyle w:val="Hyperlink"/>
                <w:noProof/>
                <w:sz w:val="20"/>
              </w:rPr>
              <w:t>Total debt/ Total capital</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_Toc448030082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6</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3" w:history="1">
            <w:r w:rsidR="00906654" w:rsidRPr="00906654">
              <w:rPr>
                <w:rStyle w:val="Hyperlink"/>
                <w:noProof/>
                <w:sz w:val="20"/>
              </w:rPr>
              <w:t>Asset Turnover</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_Toc448030083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7</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4" w:history="1">
            <w:r w:rsidR="00906654" w:rsidRPr="00906654">
              <w:rPr>
                <w:rStyle w:val="Hyperlink"/>
                <w:noProof/>
                <w:sz w:val="20"/>
              </w:rPr>
              <w:t>Inventory Turnover</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_Toc448030084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8</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5" w:history="1">
            <w:r w:rsidR="00906654" w:rsidRPr="00906654">
              <w:rPr>
                <w:rStyle w:val="Hyperlink"/>
                <w:noProof/>
                <w:sz w:val="20"/>
              </w:rPr>
              <w:t>Gross Margin</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_Toc448030085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9</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6" w:history="1">
            <w:r w:rsidR="00906654" w:rsidRPr="00906654">
              <w:rPr>
                <w:rStyle w:val="Hyperlink"/>
                <w:noProof/>
                <w:sz w:val="20"/>
              </w:rPr>
              <w:t>Operating Margin</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_Toc448030086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10</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7" w:history="1">
            <w:r w:rsidR="00906654" w:rsidRPr="00906654">
              <w:rPr>
                <w:rStyle w:val="Hyperlink"/>
                <w:noProof/>
                <w:sz w:val="20"/>
              </w:rPr>
              <w:t>Return on assets</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_Toc448030087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11</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8" w:history="1">
            <w:r w:rsidR="00906654" w:rsidRPr="00906654">
              <w:rPr>
                <w:rStyle w:val="Hyperlink"/>
                <w:noProof/>
                <w:sz w:val="20"/>
              </w:rPr>
              <w:t>Return on equity</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_Toc448030088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12</w:t>
            </w:r>
            <w:r w:rsidR="00906654" w:rsidRPr="00906654">
              <w:rPr>
                <w:noProof/>
                <w:webHidden/>
                <w:sz w:val="20"/>
              </w:rPr>
              <w:fldChar w:fldCharType="end"/>
            </w:r>
          </w:hyperlink>
        </w:p>
        <w:p w:rsidR="00906654" w:rsidRPr="00906654" w:rsidRDefault="006902CB">
          <w:pPr>
            <w:pStyle w:val="TOC3"/>
            <w:tabs>
              <w:tab w:val="right" w:leader="dot" w:pos="9350"/>
            </w:tabs>
            <w:rPr>
              <w:rFonts w:asciiTheme="minorHAnsi" w:eastAsiaTheme="minorEastAsia" w:hAnsiTheme="minorHAnsi"/>
              <w:noProof/>
              <w:sz w:val="20"/>
            </w:rPr>
          </w:pPr>
          <w:hyperlink w:anchor="_Toc448030089" w:history="1">
            <w:r w:rsidR="00906654" w:rsidRPr="00906654">
              <w:rPr>
                <w:rStyle w:val="Hyperlink"/>
                <w:noProof/>
                <w:sz w:val="20"/>
              </w:rPr>
              <w:t>Non-financial KPI:</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_Toc448030089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13</w:t>
            </w:r>
            <w:r w:rsidR="00906654" w:rsidRPr="00906654">
              <w:rPr>
                <w:noProof/>
                <w:webHidden/>
                <w:sz w:val="20"/>
              </w:rPr>
              <w:fldChar w:fldCharType="end"/>
            </w:r>
          </w:hyperlink>
        </w:p>
        <w:p w:rsidR="00906654" w:rsidRPr="00906654" w:rsidRDefault="006902CB">
          <w:pPr>
            <w:pStyle w:val="TOC2"/>
            <w:tabs>
              <w:tab w:val="right" w:leader="dot" w:pos="9350"/>
            </w:tabs>
            <w:rPr>
              <w:rFonts w:asciiTheme="minorHAnsi" w:eastAsiaTheme="minorEastAsia" w:hAnsiTheme="minorHAnsi"/>
              <w:noProof/>
              <w:sz w:val="20"/>
            </w:rPr>
          </w:pPr>
          <w:hyperlink w:anchor="_Toc448030090" w:history="1">
            <w:r w:rsidR="00906654" w:rsidRPr="00906654">
              <w:rPr>
                <w:rStyle w:val="Hyperlink"/>
                <w:noProof/>
                <w:sz w:val="20"/>
              </w:rPr>
              <w:t>Part B</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_Toc448030090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15</w:t>
            </w:r>
            <w:r w:rsidR="00906654" w:rsidRPr="00906654">
              <w:rPr>
                <w:noProof/>
                <w:webHidden/>
                <w:sz w:val="20"/>
              </w:rPr>
              <w:fldChar w:fldCharType="end"/>
            </w:r>
          </w:hyperlink>
        </w:p>
        <w:p w:rsidR="00906654" w:rsidRPr="00906654" w:rsidRDefault="006902CB">
          <w:pPr>
            <w:pStyle w:val="TOC2"/>
            <w:tabs>
              <w:tab w:val="right" w:leader="dot" w:pos="9350"/>
            </w:tabs>
            <w:rPr>
              <w:rFonts w:asciiTheme="minorHAnsi" w:eastAsiaTheme="minorEastAsia" w:hAnsiTheme="minorHAnsi"/>
              <w:noProof/>
              <w:sz w:val="20"/>
            </w:rPr>
          </w:pPr>
          <w:hyperlink w:anchor="_Toc448030091" w:history="1">
            <w:r w:rsidR="00906654" w:rsidRPr="00906654">
              <w:rPr>
                <w:rStyle w:val="Hyperlink"/>
                <w:noProof/>
                <w:sz w:val="20"/>
              </w:rPr>
              <w:t>Part C</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_Toc448030091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16</w:t>
            </w:r>
            <w:r w:rsidR="00906654" w:rsidRPr="00906654">
              <w:rPr>
                <w:noProof/>
                <w:webHidden/>
                <w:sz w:val="20"/>
              </w:rPr>
              <w:fldChar w:fldCharType="end"/>
            </w:r>
          </w:hyperlink>
        </w:p>
        <w:p w:rsidR="00906654" w:rsidRPr="00906654" w:rsidRDefault="006902CB">
          <w:pPr>
            <w:pStyle w:val="TOC1"/>
            <w:tabs>
              <w:tab w:val="right" w:leader="dot" w:pos="9350"/>
            </w:tabs>
            <w:rPr>
              <w:rFonts w:asciiTheme="minorHAnsi" w:eastAsiaTheme="minorEastAsia" w:hAnsiTheme="minorHAnsi"/>
              <w:noProof/>
              <w:sz w:val="20"/>
            </w:rPr>
          </w:pPr>
          <w:hyperlink w:anchor="_Toc448030092" w:history="1">
            <w:r w:rsidR="00906654" w:rsidRPr="00906654">
              <w:rPr>
                <w:rStyle w:val="Hyperlink"/>
                <w:noProof/>
                <w:sz w:val="20"/>
              </w:rPr>
              <w:t>Answer 2</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_Toc448030092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17</w:t>
            </w:r>
            <w:r w:rsidR="00906654" w:rsidRPr="00906654">
              <w:rPr>
                <w:noProof/>
                <w:webHidden/>
                <w:sz w:val="20"/>
              </w:rPr>
              <w:fldChar w:fldCharType="end"/>
            </w:r>
          </w:hyperlink>
        </w:p>
        <w:p w:rsidR="00906654" w:rsidRPr="00906654" w:rsidRDefault="006902CB">
          <w:pPr>
            <w:pStyle w:val="TOC2"/>
            <w:tabs>
              <w:tab w:val="right" w:leader="dot" w:pos="9350"/>
            </w:tabs>
            <w:rPr>
              <w:rFonts w:asciiTheme="minorHAnsi" w:eastAsiaTheme="minorEastAsia" w:hAnsiTheme="minorHAnsi"/>
              <w:noProof/>
              <w:sz w:val="20"/>
            </w:rPr>
          </w:pPr>
          <w:hyperlink w:anchor="_Toc448030093" w:history="1">
            <w:r w:rsidR="00906654" w:rsidRPr="00906654">
              <w:rPr>
                <w:rStyle w:val="Hyperlink"/>
                <w:noProof/>
                <w:sz w:val="20"/>
              </w:rPr>
              <w:t>Financial feasibility</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_Toc448030093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17</w:t>
            </w:r>
            <w:r w:rsidR="00906654" w:rsidRPr="00906654">
              <w:rPr>
                <w:noProof/>
                <w:webHidden/>
                <w:sz w:val="20"/>
              </w:rPr>
              <w:fldChar w:fldCharType="end"/>
            </w:r>
          </w:hyperlink>
        </w:p>
        <w:p w:rsidR="00906654" w:rsidRPr="00906654" w:rsidRDefault="006902CB">
          <w:pPr>
            <w:pStyle w:val="TOC2"/>
            <w:tabs>
              <w:tab w:val="right" w:leader="dot" w:pos="9350"/>
            </w:tabs>
            <w:rPr>
              <w:rFonts w:asciiTheme="minorHAnsi" w:eastAsiaTheme="minorEastAsia" w:hAnsiTheme="minorHAnsi"/>
              <w:noProof/>
              <w:sz w:val="20"/>
            </w:rPr>
          </w:pPr>
          <w:hyperlink w:anchor="_Toc448030094" w:history="1">
            <w:r w:rsidR="00906654" w:rsidRPr="00906654">
              <w:rPr>
                <w:rStyle w:val="Hyperlink"/>
                <w:noProof/>
                <w:sz w:val="20"/>
              </w:rPr>
              <w:t>Taxation approach</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_Toc448030094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19</w:t>
            </w:r>
            <w:r w:rsidR="00906654" w:rsidRPr="00906654">
              <w:rPr>
                <w:noProof/>
                <w:webHidden/>
                <w:sz w:val="20"/>
              </w:rPr>
              <w:fldChar w:fldCharType="end"/>
            </w:r>
          </w:hyperlink>
        </w:p>
        <w:p w:rsidR="00906654" w:rsidRPr="00906654" w:rsidRDefault="006902CB">
          <w:pPr>
            <w:pStyle w:val="TOC2"/>
            <w:tabs>
              <w:tab w:val="right" w:leader="dot" w:pos="9350"/>
            </w:tabs>
            <w:rPr>
              <w:rFonts w:asciiTheme="minorHAnsi" w:eastAsiaTheme="minorEastAsia" w:hAnsiTheme="minorHAnsi"/>
              <w:noProof/>
              <w:sz w:val="20"/>
            </w:rPr>
          </w:pPr>
          <w:hyperlink w:anchor="_Toc448030095" w:history="1">
            <w:r w:rsidR="00906654" w:rsidRPr="00906654">
              <w:rPr>
                <w:rStyle w:val="Hyperlink"/>
                <w:noProof/>
                <w:sz w:val="20"/>
              </w:rPr>
              <w:t>Alternate investment appraisal method</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_Toc448030095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20</w:t>
            </w:r>
            <w:r w:rsidR="00906654" w:rsidRPr="00906654">
              <w:rPr>
                <w:noProof/>
                <w:webHidden/>
                <w:sz w:val="20"/>
              </w:rPr>
              <w:fldChar w:fldCharType="end"/>
            </w:r>
          </w:hyperlink>
        </w:p>
        <w:p w:rsidR="00906654" w:rsidRPr="00906654" w:rsidRDefault="006902CB">
          <w:pPr>
            <w:pStyle w:val="TOC2"/>
            <w:tabs>
              <w:tab w:val="right" w:leader="dot" w:pos="9350"/>
            </w:tabs>
            <w:rPr>
              <w:rFonts w:asciiTheme="minorHAnsi" w:eastAsiaTheme="minorEastAsia" w:hAnsiTheme="minorHAnsi"/>
              <w:noProof/>
              <w:sz w:val="20"/>
            </w:rPr>
          </w:pPr>
          <w:hyperlink w:anchor="_Toc448030096" w:history="1">
            <w:r w:rsidR="00906654" w:rsidRPr="00906654">
              <w:rPr>
                <w:rStyle w:val="Hyperlink"/>
                <w:noProof/>
                <w:sz w:val="20"/>
              </w:rPr>
              <w:t>Other factors</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_Toc448030096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20</w:t>
            </w:r>
            <w:r w:rsidR="00906654" w:rsidRPr="00906654">
              <w:rPr>
                <w:noProof/>
                <w:webHidden/>
                <w:sz w:val="20"/>
              </w:rPr>
              <w:fldChar w:fldCharType="end"/>
            </w:r>
          </w:hyperlink>
        </w:p>
        <w:p w:rsidR="00906654" w:rsidRPr="00906654" w:rsidRDefault="006902CB">
          <w:pPr>
            <w:pStyle w:val="TOC1"/>
            <w:tabs>
              <w:tab w:val="right" w:leader="dot" w:pos="9350"/>
            </w:tabs>
            <w:rPr>
              <w:rFonts w:asciiTheme="minorHAnsi" w:eastAsiaTheme="minorEastAsia" w:hAnsiTheme="minorHAnsi"/>
              <w:noProof/>
              <w:sz w:val="20"/>
            </w:rPr>
          </w:pPr>
          <w:hyperlink w:anchor="_Toc448030097" w:history="1">
            <w:r w:rsidR="00906654" w:rsidRPr="00906654">
              <w:rPr>
                <w:rStyle w:val="Hyperlink"/>
                <w:noProof/>
                <w:sz w:val="20"/>
              </w:rPr>
              <w:t>References</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_Toc448030097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21</w:t>
            </w:r>
            <w:r w:rsidR="00906654" w:rsidRPr="00906654">
              <w:rPr>
                <w:noProof/>
                <w:webHidden/>
                <w:sz w:val="20"/>
              </w:rPr>
              <w:fldChar w:fldCharType="end"/>
            </w:r>
          </w:hyperlink>
        </w:p>
        <w:p w:rsidR="00906654" w:rsidRPr="00906654" w:rsidRDefault="006902CB">
          <w:pPr>
            <w:pStyle w:val="TOC1"/>
            <w:tabs>
              <w:tab w:val="right" w:leader="dot" w:pos="9350"/>
            </w:tabs>
            <w:rPr>
              <w:rFonts w:asciiTheme="minorHAnsi" w:eastAsiaTheme="minorEastAsia" w:hAnsiTheme="minorHAnsi"/>
              <w:noProof/>
              <w:sz w:val="20"/>
            </w:rPr>
          </w:pPr>
          <w:hyperlink w:anchor="_Toc448030098" w:history="1">
            <w:r w:rsidR="00906654" w:rsidRPr="00906654">
              <w:rPr>
                <w:rStyle w:val="Hyperlink"/>
                <w:noProof/>
                <w:sz w:val="20"/>
              </w:rPr>
              <w:t>Appendices</w:t>
            </w:r>
            <w:r w:rsidR="00906654" w:rsidRPr="00906654">
              <w:rPr>
                <w:noProof/>
                <w:webHidden/>
                <w:sz w:val="20"/>
              </w:rPr>
              <w:tab/>
            </w:r>
            <w:r w:rsidR="00906654" w:rsidRPr="00906654">
              <w:rPr>
                <w:noProof/>
                <w:webHidden/>
                <w:sz w:val="20"/>
              </w:rPr>
              <w:fldChar w:fldCharType="begin"/>
            </w:r>
            <w:r w:rsidR="00906654" w:rsidRPr="00906654">
              <w:rPr>
                <w:noProof/>
                <w:webHidden/>
                <w:sz w:val="20"/>
              </w:rPr>
              <w:instrText xml:space="preserve"> PAGEREF _Toc448030098 \h </w:instrText>
            </w:r>
            <w:r w:rsidR="00906654" w:rsidRPr="00906654">
              <w:rPr>
                <w:noProof/>
                <w:webHidden/>
                <w:sz w:val="20"/>
              </w:rPr>
            </w:r>
            <w:r w:rsidR="00906654" w:rsidRPr="00906654">
              <w:rPr>
                <w:noProof/>
                <w:webHidden/>
                <w:sz w:val="20"/>
              </w:rPr>
              <w:fldChar w:fldCharType="separate"/>
            </w:r>
            <w:r w:rsidR="00906654" w:rsidRPr="00906654">
              <w:rPr>
                <w:noProof/>
                <w:webHidden/>
                <w:sz w:val="20"/>
              </w:rPr>
              <w:t>22</w:t>
            </w:r>
            <w:r w:rsidR="00906654" w:rsidRPr="00906654">
              <w:rPr>
                <w:noProof/>
                <w:webHidden/>
                <w:sz w:val="20"/>
              </w:rPr>
              <w:fldChar w:fldCharType="end"/>
            </w:r>
          </w:hyperlink>
        </w:p>
        <w:p w:rsidR="00906654" w:rsidRDefault="00906654">
          <w:r w:rsidRPr="00906654">
            <w:rPr>
              <w:b/>
              <w:bCs/>
              <w:noProof/>
              <w:sz w:val="20"/>
            </w:rPr>
            <w:fldChar w:fldCharType="end"/>
          </w:r>
        </w:p>
      </w:sdtContent>
    </w:sdt>
    <w:p w:rsidR="00B34CF2" w:rsidRDefault="00B34CF2" w:rsidP="00DF6EE1"/>
    <w:p w:rsidR="00C10D6A" w:rsidRDefault="00C10D6A">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448030130" w:history="1">
        <w:r w:rsidRPr="00E377A2">
          <w:rPr>
            <w:rStyle w:val="Hyperlink"/>
            <w:noProof/>
          </w:rPr>
          <w:t>Table 1: Average Full Time Employee</w:t>
        </w:r>
        <w:r>
          <w:rPr>
            <w:noProof/>
            <w:webHidden/>
          </w:rPr>
          <w:tab/>
        </w:r>
        <w:r>
          <w:rPr>
            <w:noProof/>
            <w:webHidden/>
          </w:rPr>
          <w:fldChar w:fldCharType="begin"/>
        </w:r>
        <w:r>
          <w:rPr>
            <w:noProof/>
            <w:webHidden/>
          </w:rPr>
          <w:instrText xml:space="preserve"> PAGEREF _Toc448030130 \h </w:instrText>
        </w:r>
        <w:r>
          <w:rPr>
            <w:noProof/>
            <w:webHidden/>
          </w:rPr>
        </w:r>
        <w:r>
          <w:rPr>
            <w:noProof/>
            <w:webHidden/>
          </w:rPr>
          <w:fldChar w:fldCharType="separate"/>
        </w:r>
        <w:r>
          <w:rPr>
            <w:noProof/>
            <w:webHidden/>
          </w:rPr>
          <w:t>14</w:t>
        </w:r>
        <w:r>
          <w:rPr>
            <w:noProof/>
            <w:webHidden/>
          </w:rPr>
          <w:fldChar w:fldCharType="end"/>
        </w:r>
      </w:hyperlink>
    </w:p>
    <w:p w:rsidR="00C10D6A" w:rsidRDefault="006902CB">
      <w:pPr>
        <w:pStyle w:val="TableofFigures"/>
        <w:tabs>
          <w:tab w:val="right" w:leader="dot" w:pos="9350"/>
        </w:tabs>
        <w:rPr>
          <w:rFonts w:asciiTheme="minorHAnsi" w:eastAsiaTheme="minorEastAsia" w:hAnsiTheme="minorHAnsi"/>
          <w:noProof/>
        </w:rPr>
      </w:pPr>
      <w:hyperlink w:anchor="_Toc448030131" w:history="1">
        <w:r w:rsidR="00C10D6A" w:rsidRPr="00E377A2">
          <w:rPr>
            <w:rStyle w:val="Hyperlink"/>
            <w:noProof/>
          </w:rPr>
          <w:t>Table 2: Total sales area (000s square feet)</w:t>
        </w:r>
        <w:r w:rsidR="00C10D6A">
          <w:rPr>
            <w:noProof/>
            <w:webHidden/>
          </w:rPr>
          <w:tab/>
        </w:r>
        <w:r w:rsidR="00C10D6A">
          <w:rPr>
            <w:noProof/>
            <w:webHidden/>
          </w:rPr>
          <w:fldChar w:fldCharType="begin"/>
        </w:r>
        <w:r w:rsidR="00C10D6A">
          <w:rPr>
            <w:noProof/>
            <w:webHidden/>
          </w:rPr>
          <w:instrText xml:space="preserve"> PAGEREF _Toc448030131 \h </w:instrText>
        </w:r>
        <w:r w:rsidR="00C10D6A">
          <w:rPr>
            <w:noProof/>
            <w:webHidden/>
          </w:rPr>
        </w:r>
        <w:r w:rsidR="00C10D6A">
          <w:rPr>
            <w:noProof/>
            <w:webHidden/>
          </w:rPr>
          <w:fldChar w:fldCharType="separate"/>
        </w:r>
        <w:r w:rsidR="00C10D6A">
          <w:rPr>
            <w:noProof/>
            <w:webHidden/>
          </w:rPr>
          <w:t>15</w:t>
        </w:r>
        <w:r w:rsidR="00C10D6A">
          <w:rPr>
            <w:noProof/>
            <w:webHidden/>
          </w:rPr>
          <w:fldChar w:fldCharType="end"/>
        </w:r>
      </w:hyperlink>
    </w:p>
    <w:p w:rsidR="00C10D6A" w:rsidRDefault="006902CB">
      <w:pPr>
        <w:pStyle w:val="TableofFigures"/>
        <w:tabs>
          <w:tab w:val="right" w:leader="dot" w:pos="9350"/>
        </w:tabs>
        <w:rPr>
          <w:rFonts w:asciiTheme="minorHAnsi" w:eastAsiaTheme="minorEastAsia" w:hAnsiTheme="minorHAnsi"/>
          <w:noProof/>
        </w:rPr>
      </w:pPr>
      <w:hyperlink w:anchor="_Toc448030132" w:history="1">
        <w:r w:rsidR="00C10D6A" w:rsidRPr="00E377A2">
          <w:rPr>
            <w:rStyle w:val="Hyperlink"/>
            <w:noProof/>
          </w:rPr>
          <w:t>Table 3: Income statement of JBZ</w:t>
        </w:r>
        <w:r w:rsidR="00C10D6A">
          <w:rPr>
            <w:noProof/>
            <w:webHidden/>
          </w:rPr>
          <w:tab/>
        </w:r>
        <w:r w:rsidR="00C10D6A">
          <w:rPr>
            <w:noProof/>
            <w:webHidden/>
          </w:rPr>
          <w:fldChar w:fldCharType="begin"/>
        </w:r>
        <w:r w:rsidR="00C10D6A">
          <w:rPr>
            <w:noProof/>
            <w:webHidden/>
          </w:rPr>
          <w:instrText xml:space="preserve"> PAGEREF _Toc448030132 \h </w:instrText>
        </w:r>
        <w:r w:rsidR="00C10D6A">
          <w:rPr>
            <w:noProof/>
            <w:webHidden/>
          </w:rPr>
        </w:r>
        <w:r w:rsidR="00C10D6A">
          <w:rPr>
            <w:noProof/>
            <w:webHidden/>
          </w:rPr>
          <w:fldChar w:fldCharType="separate"/>
        </w:r>
        <w:r w:rsidR="00C10D6A">
          <w:rPr>
            <w:noProof/>
            <w:webHidden/>
          </w:rPr>
          <w:t>18</w:t>
        </w:r>
        <w:r w:rsidR="00C10D6A">
          <w:rPr>
            <w:noProof/>
            <w:webHidden/>
          </w:rPr>
          <w:fldChar w:fldCharType="end"/>
        </w:r>
      </w:hyperlink>
    </w:p>
    <w:p w:rsidR="00C10D6A" w:rsidRDefault="006902CB">
      <w:pPr>
        <w:pStyle w:val="TableofFigures"/>
        <w:tabs>
          <w:tab w:val="right" w:leader="dot" w:pos="9350"/>
        </w:tabs>
        <w:rPr>
          <w:rFonts w:asciiTheme="minorHAnsi" w:eastAsiaTheme="minorEastAsia" w:hAnsiTheme="minorHAnsi"/>
          <w:noProof/>
        </w:rPr>
      </w:pPr>
      <w:hyperlink w:anchor="_Toc448030133" w:history="1">
        <w:r w:rsidR="00C10D6A" w:rsidRPr="00E377A2">
          <w:rPr>
            <w:rStyle w:val="Hyperlink"/>
            <w:noProof/>
          </w:rPr>
          <w:t>Table 4: Cash flow statement of JBZ</w:t>
        </w:r>
        <w:r w:rsidR="00C10D6A">
          <w:rPr>
            <w:noProof/>
            <w:webHidden/>
          </w:rPr>
          <w:tab/>
        </w:r>
        <w:r w:rsidR="00C10D6A">
          <w:rPr>
            <w:noProof/>
            <w:webHidden/>
          </w:rPr>
          <w:fldChar w:fldCharType="begin"/>
        </w:r>
        <w:r w:rsidR="00C10D6A">
          <w:rPr>
            <w:noProof/>
            <w:webHidden/>
          </w:rPr>
          <w:instrText xml:space="preserve"> PAGEREF _Toc448030133 \h </w:instrText>
        </w:r>
        <w:r w:rsidR="00C10D6A">
          <w:rPr>
            <w:noProof/>
            <w:webHidden/>
          </w:rPr>
        </w:r>
        <w:r w:rsidR="00C10D6A">
          <w:rPr>
            <w:noProof/>
            <w:webHidden/>
          </w:rPr>
          <w:fldChar w:fldCharType="separate"/>
        </w:r>
        <w:r w:rsidR="00C10D6A">
          <w:rPr>
            <w:noProof/>
            <w:webHidden/>
          </w:rPr>
          <w:t>19</w:t>
        </w:r>
        <w:r w:rsidR="00C10D6A">
          <w:rPr>
            <w:noProof/>
            <w:webHidden/>
          </w:rPr>
          <w:fldChar w:fldCharType="end"/>
        </w:r>
      </w:hyperlink>
    </w:p>
    <w:p w:rsidR="00C10D6A" w:rsidRDefault="006902CB">
      <w:pPr>
        <w:pStyle w:val="TableofFigures"/>
        <w:tabs>
          <w:tab w:val="right" w:leader="dot" w:pos="9350"/>
        </w:tabs>
        <w:rPr>
          <w:rFonts w:asciiTheme="minorHAnsi" w:eastAsiaTheme="minorEastAsia" w:hAnsiTheme="minorHAnsi"/>
          <w:noProof/>
        </w:rPr>
      </w:pPr>
      <w:hyperlink w:anchor="_Toc448030134" w:history="1">
        <w:r w:rsidR="00C10D6A" w:rsidRPr="00E377A2">
          <w:rPr>
            <w:rStyle w:val="Hyperlink"/>
            <w:noProof/>
          </w:rPr>
          <w:t>Table 5: Capital allowances computation</w:t>
        </w:r>
        <w:r w:rsidR="00C10D6A">
          <w:rPr>
            <w:noProof/>
            <w:webHidden/>
          </w:rPr>
          <w:tab/>
        </w:r>
        <w:r w:rsidR="00C10D6A">
          <w:rPr>
            <w:noProof/>
            <w:webHidden/>
          </w:rPr>
          <w:fldChar w:fldCharType="begin"/>
        </w:r>
        <w:r w:rsidR="00C10D6A">
          <w:rPr>
            <w:noProof/>
            <w:webHidden/>
          </w:rPr>
          <w:instrText xml:space="preserve"> PAGEREF _Toc448030134 \h </w:instrText>
        </w:r>
        <w:r w:rsidR="00C10D6A">
          <w:rPr>
            <w:noProof/>
            <w:webHidden/>
          </w:rPr>
        </w:r>
        <w:r w:rsidR="00C10D6A">
          <w:rPr>
            <w:noProof/>
            <w:webHidden/>
          </w:rPr>
          <w:fldChar w:fldCharType="separate"/>
        </w:r>
        <w:r w:rsidR="00C10D6A">
          <w:rPr>
            <w:noProof/>
            <w:webHidden/>
          </w:rPr>
          <w:t>20</w:t>
        </w:r>
        <w:r w:rsidR="00C10D6A">
          <w:rPr>
            <w:noProof/>
            <w:webHidden/>
          </w:rPr>
          <w:fldChar w:fldCharType="end"/>
        </w:r>
      </w:hyperlink>
    </w:p>
    <w:p w:rsidR="00C10D6A" w:rsidRDefault="006902CB">
      <w:pPr>
        <w:pStyle w:val="TableofFigures"/>
        <w:tabs>
          <w:tab w:val="right" w:leader="dot" w:pos="9350"/>
        </w:tabs>
        <w:rPr>
          <w:rFonts w:asciiTheme="minorHAnsi" w:eastAsiaTheme="minorEastAsia" w:hAnsiTheme="minorHAnsi"/>
          <w:noProof/>
        </w:rPr>
      </w:pPr>
      <w:hyperlink w:anchor="_Toc448030135" w:history="1">
        <w:r w:rsidR="00C10D6A" w:rsidRPr="00E377A2">
          <w:rPr>
            <w:rStyle w:val="Hyperlink"/>
            <w:noProof/>
          </w:rPr>
          <w:t>Table 6: Tax computations</w:t>
        </w:r>
        <w:r w:rsidR="00C10D6A">
          <w:rPr>
            <w:noProof/>
            <w:webHidden/>
          </w:rPr>
          <w:tab/>
        </w:r>
        <w:r w:rsidR="00C10D6A">
          <w:rPr>
            <w:noProof/>
            <w:webHidden/>
          </w:rPr>
          <w:fldChar w:fldCharType="begin"/>
        </w:r>
        <w:r w:rsidR="00C10D6A">
          <w:rPr>
            <w:noProof/>
            <w:webHidden/>
          </w:rPr>
          <w:instrText xml:space="preserve"> PAGEREF _Toc448030135 \h </w:instrText>
        </w:r>
        <w:r w:rsidR="00C10D6A">
          <w:rPr>
            <w:noProof/>
            <w:webHidden/>
          </w:rPr>
        </w:r>
        <w:r w:rsidR="00C10D6A">
          <w:rPr>
            <w:noProof/>
            <w:webHidden/>
          </w:rPr>
          <w:fldChar w:fldCharType="separate"/>
        </w:r>
        <w:r w:rsidR="00C10D6A">
          <w:rPr>
            <w:noProof/>
            <w:webHidden/>
          </w:rPr>
          <w:t>20</w:t>
        </w:r>
        <w:r w:rsidR="00C10D6A">
          <w:rPr>
            <w:noProof/>
            <w:webHidden/>
          </w:rPr>
          <w:fldChar w:fldCharType="end"/>
        </w:r>
      </w:hyperlink>
    </w:p>
    <w:p w:rsidR="00C10D6A" w:rsidRDefault="00C10D6A" w:rsidP="00DF6EE1">
      <w:r>
        <w:fldChar w:fldCharType="end"/>
      </w:r>
    </w:p>
    <w:p w:rsidR="002E3BFE" w:rsidRDefault="002E3BFE" w:rsidP="00DF6EE1"/>
    <w:p w:rsidR="00B34CF2" w:rsidRDefault="00B34CF2">
      <w:pPr>
        <w:spacing w:before="240"/>
        <w:rPr>
          <w:rFonts w:eastAsiaTheme="majorEastAsia" w:cstheme="majorBidi"/>
          <w:b/>
          <w:szCs w:val="32"/>
        </w:rPr>
      </w:pPr>
      <w:r>
        <w:br w:type="page"/>
      </w:r>
    </w:p>
    <w:p w:rsidR="00C579CC" w:rsidRDefault="003E5B60" w:rsidP="003E5B60">
      <w:pPr>
        <w:pStyle w:val="Heading1"/>
      </w:pPr>
      <w:bookmarkStart w:id="0" w:name="_Toc448019857"/>
      <w:bookmarkStart w:id="1" w:name="_Toc448030077"/>
      <w:r>
        <w:lastRenderedPageBreak/>
        <w:t>Answer 1</w:t>
      </w:r>
      <w:bookmarkEnd w:id="0"/>
      <w:bookmarkEnd w:id="1"/>
    </w:p>
    <w:p w:rsidR="00026193" w:rsidRPr="00026193" w:rsidRDefault="00026193" w:rsidP="00026193">
      <w:pPr>
        <w:pStyle w:val="Heading2"/>
      </w:pPr>
      <w:bookmarkStart w:id="2" w:name="_Toc448019858"/>
      <w:bookmarkStart w:id="3" w:name="_Toc448030078"/>
      <w:r>
        <w:t>Part A</w:t>
      </w:r>
      <w:bookmarkEnd w:id="2"/>
      <w:bookmarkEnd w:id="3"/>
      <w:r>
        <w:t xml:space="preserve"> </w:t>
      </w:r>
    </w:p>
    <w:p w:rsidR="008076E7" w:rsidRDefault="008076E7" w:rsidP="000D0B0D">
      <w:pPr>
        <w:pStyle w:val="Heading3"/>
      </w:pPr>
      <w:bookmarkStart w:id="4" w:name="_Toc448019859"/>
      <w:bookmarkStart w:id="5" w:name="_Toc448030079"/>
      <w:r>
        <w:t>Current ratio</w:t>
      </w:r>
      <w:bookmarkEnd w:id="4"/>
      <w:bookmarkEnd w:id="5"/>
    </w:p>
    <w:p w:rsidR="009C077B" w:rsidRDefault="009C077B" w:rsidP="009C077B">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1</w:t>
      </w:r>
      <w:r w:rsidR="006902CB">
        <w:rPr>
          <w:noProof/>
        </w:rPr>
        <w:fldChar w:fldCharType="end"/>
      </w:r>
      <w:r>
        <w:t>: Current ratio</w:t>
      </w:r>
      <w:r w:rsidR="008F2D70">
        <w:t xml:space="preserve"> analysis</w:t>
      </w:r>
    </w:p>
    <w:p w:rsidR="00DF5A53" w:rsidRDefault="00DF5A53" w:rsidP="00DF5A53">
      <w:r>
        <w:rPr>
          <w:noProof/>
        </w:rPr>
        <w:drawing>
          <wp:inline distT="0" distB="0" distL="0" distR="0" wp14:anchorId="06177B04" wp14:editId="4DD6FB2E">
            <wp:extent cx="5834062" cy="3124200"/>
            <wp:effectExtent l="0" t="0" r="1460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48EC" w:rsidRDefault="000348EC" w:rsidP="00DF5A53">
      <w:r>
        <w:tab/>
        <w:t>C</w:t>
      </w:r>
      <w:r w:rsidR="007C1069">
        <w:t xml:space="preserve">urrent ratio of J Sainsbury Plc has been in narrow range in last five years while current ratio of Tesco Plc declined over the years and current ratio of WM Morrison has been at </w:t>
      </w:r>
      <w:r w:rsidR="00F045BE">
        <w:t xml:space="preserve">quite </w:t>
      </w:r>
      <w:r w:rsidR="007C1069">
        <w:t>low</w:t>
      </w:r>
      <w:r w:rsidR="007D670C">
        <w:t>er</w:t>
      </w:r>
      <w:r w:rsidR="007C1069">
        <w:t xml:space="preserve"> level. </w:t>
      </w:r>
      <w:r w:rsidR="00033B5A">
        <w:t xml:space="preserve">Usually, current ratio of one or higher than </w:t>
      </w:r>
      <w:r w:rsidR="00A03114">
        <w:t>it</w:t>
      </w:r>
      <w:r w:rsidR="00033B5A">
        <w:t xml:space="preserve"> is </w:t>
      </w:r>
      <w:r w:rsidR="004473FC">
        <w:t>desirable</w:t>
      </w:r>
      <w:r w:rsidR="00033B5A">
        <w:t>.</w:t>
      </w:r>
      <w:r w:rsidR="00854ECB">
        <w:t xml:space="preserve"> Current ratio of WM Morrison has been as low as 0.5 and remained lower than other two competitors for all five years. </w:t>
      </w:r>
      <w:r w:rsidR="00A84D00">
        <w:t>Current ratio of J Sainsbury has been relatively very stable compared to other two firms.</w:t>
      </w:r>
      <w:r w:rsidR="00033B5A">
        <w:t xml:space="preserve"> </w:t>
      </w:r>
    </w:p>
    <w:p w:rsidR="003578C6" w:rsidRDefault="003578C6" w:rsidP="00DF5A53"/>
    <w:p w:rsidR="00C06160" w:rsidRDefault="00C06160" w:rsidP="00B70D6B">
      <w:r>
        <w:t>Individual performance:</w:t>
      </w:r>
    </w:p>
    <w:p w:rsidR="002D11A7" w:rsidRDefault="00C06160" w:rsidP="00B70D6B">
      <w:r>
        <w:tab/>
      </w:r>
      <w:r w:rsidRPr="006F4582">
        <w:rPr>
          <w:b/>
        </w:rPr>
        <w:t>Best performing</w:t>
      </w:r>
      <w:r>
        <w:t xml:space="preserve">: </w:t>
      </w:r>
      <w:r w:rsidR="00D067B2">
        <w:t>J Sainsbury Plc</w:t>
      </w:r>
      <w:r w:rsidR="004332C0">
        <w:t xml:space="preserve">, </w:t>
      </w:r>
      <w:r w:rsidR="002D11A7" w:rsidRPr="006F4582">
        <w:rPr>
          <w:b/>
        </w:rPr>
        <w:t>Worst performing</w:t>
      </w:r>
      <w:r w:rsidR="002D11A7">
        <w:t xml:space="preserve">: </w:t>
      </w:r>
      <w:r w:rsidR="00C449E7">
        <w:t>WM Morrison Supermarkets Plc</w:t>
      </w:r>
    </w:p>
    <w:p w:rsidR="002D11A7" w:rsidRDefault="002D11A7" w:rsidP="00B70D6B">
      <w:r>
        <w:t>Overall:</w:t>
      </w:r>
    </w:p>
    <w:p w:rsidR="00065DE4" w:rsidRDefault="002D11A7" w:rsidP="00430B7A">
      <w:r>
        <w:tab/>
      </w:r>
      <w:r w:rsidRPr="006F4582">
        <w:rPr>
          <w:b/>
        </w:rPr>
        <w:t>Best performing</w:t>
      </w:r>
      <w:r>
        <w:t>:</w:t>
      </w:r>
      <w:r w:rsidR="00B97692">
        <w:t xml:space="preserve"> Tesco Plc</w:t>
      </w:r>
      <w:r w:rsidR="00956C09">
        <w:t xml:space="preserve">, </w:t>
      </w:r>
      <w:r w:rsidRPr="006F4582">
        <w:rPr>
          <w:b/>
        </w:rPr>
        <w:t>Worst performing</w:t>
      </w:r>
      <w:r>
        <w:t>:</w:t>
      </w:r>
      <w:r w:rsidR="00AC4663">
        <w:t xml:space="preserve"> </w:t>
      </w:r>
      <w:r w:rsidR="001312E9">
        <w:t>WM Morrison Supermarkets Plc</w:t>
      </w:r>
    </w:p>
    <w:p w:rsidR="00CB2C07" w:rsidRDefault="00CB2C07" w:rsidP="0074277B">
      <w:pPr>
        <w:pStyle w:val="Heading3"/>
      </w:pPr>
      <w:bookmarkStart w:id="6" w:name="_Toc448019860"/>
      <w:bookmarkStart w:id="7" w:name="_Toc448030080"/>
      <w:r>
        <w:lastRenderedPageBreak/>
        <w:t>Quick ratio:</w:t>
      </w:r>
      <w:bookmarkEnd w:id="6"/>
      <w:bookmarkEnd w:id="7"/>
    </w:p>
    <w:p w:rsidR="008F2D70" w:rsidRDefault="008F2D70" w:rsidP="008F2D70">
      <w:pPr>
        <w:pStyle w:val="Caption"/>
        <w:keepNext/>
      </w:pPr>
      <w:r>
        <w:t xml:space="preserve">Figure </w:t>
      </w:r>
      <w:r w:rsidR="006902CB">
        <w:fldChar w:fldCharType="begin"/>
      </w:r>
      <w:r w:rsidR="006902CB">
        <w:instrText xml:space="preserve"> SEQ Figure \* ARAB</w:instrText>
      </w:r>
      <w:r w:rsidR="006902CB">
        <w:instrText xml:space="preserve">IC </w:instrText>
      </w:r>
      <w:r w:rsidR="006902CB">
        <w:fldChar w:fldCharType="separate"/>
      </w:r>
      <w:r w:rsidR="00B831B3">
        <w:rPr>
          <w:noProof/>
        </w:rPr>
        <w:t>2</w:t>
      </w:r>
      <w:r w:rsidR="006902CB">
        <w:rPr>
          <w:noProof/>
        </w:rPr>
        <w:fldChar w:fldCharType="end"/>
      </w:r>
      <w:r>
        <w:t>: Quick ratio an</w:t>
      </w:r>
      <w:r w:rsidR="00E33A85">
        <w:t>a</w:t>
      </w:r>
      <w:r>
        <w:t>lysis</w:t>
      </w:r>
    </w:p>
    <w:p w:rsidR="00206584" w:rsidRDefault="00206584" w:rsidP="00DF5A53">
      <w:r>
        <w:rPr>
          <w:noProof/>
        </w:rPr>
        <w:drawing>
          <wp:inline distT="0" distB="0" distL="0" distR="0" wp14:anchorId="4B6EEC6D" wp14:editId="7970EDD5">
            <wp:extent cx="5834062" cy="3124200"/>
            <wp:effectExtent l="0" t="0" r="1460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7354" w:rsidRDefault="000605AA" w:rsidP="00D47354">
      <w:r>
        <w:tab/>
        <w:t>Quick ratio is considered more liquid than current ratio as it doesn’t consider inventory as liquid assets</w:t>
      </w:r>
      <w:r w:rsidR="0089725C">
        <w:t xml:space="preserve"> </w:t>
      </w:r>
      <w:r w:rsidR="0089725C">
        <w:rPr>
          <w:rStyle w:val="selectable"/>
        </w:rPr>
        <w:t>(GÂDOIU, 2014)</w:t>
      </w:r>
      <w:r>
        <w:t xml:space="preserve">. </w:t>
      </w:r>
      <w:r w:rsidR="00515A68">
        <w:t xml:space="preserve">While quick ratio of Tesco Plc declined for first two years and remained stable for last three years, the ratio of J Sainsbury improved drastically in last year. </w:t>
      </w:r>
      <w:r w:rsidR="009E5655">
        <w:t xml:space="preserve">Quick ratio of J Sainsbury has been in range of 0.25 to 0.36 between 2010 to 2013 and improved to 0.48 in 2014. </w:t>
      </w:r>
      <w:r w:rsidR="001F2B8F">
        <w:t xml:space="preserve">Quick ratio of WM Morrison has been at very low level and was in range of 0.16 to 0.21 in last five years. </w:t>
      </w:r>
    </w:p>
    <w:p w:rsidR="00E47D72" w:rsidRDefault="00E47D72" w:rsidP="00D47354"/>
    <w:p w:rsidR="00D47354" w:rsidRDefault="00D47354" w:rsidP="00D47354">
      <w:r>
        <w:t>Individual performance:</w:t>
      </w:r>
    </w:p>
    <w:p w:rsidR="00D47354" w:rsidRDefault="00D47354" w:rsidP="00D47354">
      <w:r>
        <w:tab/>
      </w:r>
      <w:r w:rsidRPr="00886108">
        <w:rPr>
          <w:b/>
        </w:rPr>
        <w:t>Best performing</w:t>
      </w:r>
      <w:r>
        <w:t>: J Sainsbury Plc</w:t>
      </w:r>
      <w:r w:rsidR="00D96890">
        <w:t xml:space="preserve">, </w:t>
      </w:r>
      <w:r w:rsidRPr="00886108">
        <w:rPr>
          <w:b/>
        </w:rPr>
        <w:t>Worst performing</w:t>
      </w:r>
      <w:r>
        <w:t>: WM Morrison Supermarkets Plc</w:t>
      </w:r>
    </w:p>
    <w:p w:rsidR="00D47354" w:rsidRDefault="00D47354" w:rsidP="00D47354">
      <w:r>
        <w:t>Overall:</w:t>
      </w:r>
    </w:p>
    <w:p w:rsidR="00D47354" w:rsidRDefault="00D47354" w:rsidP="00D47354">
      <w:r>
        <w:tab/>
      </w:r>
      <w:r w:rsidRPr="00886108">
        <w:rPr>
          <w:b/>
        </w:rPr>
        <w:t>Best performing</w:t>
      </w:r>
      <w:r>
        <w:t>: Tesco Plc</w:t>
      </w:r>
      <w:r w:rsidR="0059149F">
        <w:t xml:space="preserve">, </w:t>
      </w:r>
      <w:r w:rsidRPr="00886108">
        <w:rPr>
          <w:b/>
        </w:rPr>
        <w:t>Worst performing</w:t>
      </w:r>
      <w:r>
        <w:t>: WM Morrison Supermarkets Plc</w:t>
      </w:r>
    </w:p>
    <w:p w:rsidR="00D47354" w:rsidRDefault="00A25966" w:rsidP="00901868">
      <w:pPr>
        <w:pStyle w:val="Heading3"/>
      </w:pPr>
      <w:bookmarkStart w:id="8" w:name="_Toc448019861"/>
      <w:bookmarkStart w:id="9" w:name="_Toc448030081"/>
      <w:r>
        <w:lastRenderedPageBreak/>
        <w:t>Long Term debt/Equity</w:t>
      </w:r>
      <w:bookmarkEnd w:id="8"/>
      <w:bookmarkEnd w:id="9"/>
    </w:p>
    <w:p w:rsidR="00ED6CB8" w:rsidRDefault="00ED6CB8" w:rsidP="00ED6CB8">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3</w:t>
      </w:r>
      <w:r w:rsidR="006902CB">
        <w:rPr>
          <w:noProof/>
        </w:rPr>
        <w:fldChar w:fldCharType="end"/>
      </w:r>
      <w:r>
        <w:t>: Long Term debt/eq</w:t>
      </w:r>
      <w:r w:rsidR="009F538A">
        <w:t>u</w:t>
      </w:r>
      <w:r>
        <w:t>ity analysis</w:t>
      </w:r>
    </w:p>
    <w:p w:rsidR="00515B2F" w:rsidRDefault="00515B2F" w:rsidP="00DF5A53">
      <w:r>
        <w:rPr>
          <w:noProof/>
        </w:rPr>
        <w:drawing>
          <wp:inline distT="0" distB="0" distL="0" distR="0" wp14:anchorId="7C60F538" wp14:editId="2EAC5477">
            <wp:extent cx="5834062" cy="3124200"/>
            <wp:effectExtent l="0" t="0" r="1460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7506" w:rsidRDefault="0066769F" w:rsidP="00DF5A53">
      <w:r>
        <w:tab/>
        <w:t xml:space="preserve">Long term debt to equity belongs to long term solvency ratio. It helps to identify the financing structure of business. As it shows relative financing of long term debt and equity, the ratio higher than one shows debt funding is higher than equity and ratio lower than one indicates equity funding is higher than debt. </w:t>
      </w:r>
      <w:r w:rsidR="00E53FBB">
        <w:t xml:space="preserve">For all three companies, portion of equity funding is higher. </w:t>
      </w:r>
      <w:r w:rsidR="000C780F">
        <w:t xml:space="preserve">As investors prefer stability of business, stable financial structure is preferred over volatile structure. </w:t>
      </w:r>
      <w:r w:rsidR="00EF0E92">
        <w:t>For every $1 in equity, debt funding is $0.61, $0.64 and $0.50 for Tesco, Morrison and J Sainsbury respectively</w:t>
      </w:r>
      <w:r w:rsidR="008318FA">
        <w:t xml:space="preserve"> in </w:t>
      </w:r>
      <w:r w:rsidR="00887ADF">
        <w:t xml:space="preserve">2014 </w:t>
      </w:r>
      <w:r w:rsidR="008318FA">
        <w:t>compared to $0.71, 0.66 and $0.51 in 2010</w:t>
      </w:r>
      <w:r w:rsidR="00EF0E92">
        <w:t xml:space="preserve">. </w:t>
      </w:r>
      <w:r w:rsidR="00A54551">
        <w:t>end reversal identified for Morrison in 2014.</w:t>
      </w:r>
    </w:p>
    <w:p w:rsidR="00D2335E" w:rsidRDefault="00D2335E" w:rsidP="00DF5A53"/>
    <w:p w:rsidR="00690423" w:rsidRDefault="00690423" w:rsidP="00690423">
      <w:r>
        <w:t>Individual performance:</w:t>
      </w:r>
    </w:p>
    <w:p w:rsidR="00690423" w:rsidRDefault="00690423" w:rsidP="00690423">
      <w:r>
        <w:tab/>
      </w:r>
      <w:r w:rsidRPr="00D2335E">
        <w:rPr>
          <w:b/>
        </w:rPr>
        <w:t>Best performing</w:t>
      </w:r>
      <w:r>
        <w:t xml:space="preserve">: </w:t>
      </w:r>
      <w:r w:rsidR="00256723">
        <w:t xml:space="preserve">J Sainsbury Plc, </w:t>
      </w:r>
      <w:r w:rsidRPr="00D2335E">
        <w:rPr>
          <w:b/>
        </w:rPr>
        <w:t>Worst performing</w:t>
      </w:r>
      <w:r>
        <w:t xml:space="preserve">: </w:t>
      </w:r>
      <w:r w:rsidR="005B4DE1">
        <w:t>WM Morrison Supermarkets Plc</w:t>
      </w:r>
    </w:p>
    <w:p w:rsidR="00690423" w:rsidRDefault="00690423" w:rsidP="00690423">
      <w:r>
        <w:t>Overall:</w:t>
      </w:r>
    </w:p>
    <w:p w:rsidR="00690423" w:rsidRDefault="00690423" w:rsidP="00690423">
      <w:r>
        <w:tab/>
      </w:r>
      <w:r w:rsidRPr="00D2335E">
        <w:rPr>
          <w:b/>
        </w:rPr>
        <w:t>Best performing</w:t>
      </w:r>
      <w:r>
        <w:t xml:space="preserve">: </w:t>
      </w:r>
      <w:r w:rsidR="007817C6">
        <w:t>J Sainsbury Plc</w:t>
      </w:r>
      <w:r w:rsidR="00D01E06">
        <w:t xml:space="preserve">, </w:t>
      </w:r>
      <w:r w:rsidRPr="00D2335E">
        <w:rPr>
          <w:b/>
        </w:rPr>
        <w:t>Worst performing</w:t>
      </w:r>
      <w:r>
        <w:t>: WM Morrison Supermarkets Plc</w:t>
      </w:r>
    </w:p>
    <w:p w:rsidR="00690423" w:rsidRDefault="004C6CA2" w:rsidP="0044563A">
      <w:pPr>
        <w:pStyle w:val="Heading3"/>
      </w:pPr>
      <w:bookmarkStart w:id="10" w:name="_Toc448019862"/>
      <w:bookmarkStart w:id="11" w:name="_Toc448030082"/>
      <w:r>
        <w:lastRenderedPageBreak/>
        <w:t>Total debt/ Total capital</w:t>
      </w:r>
      <w:bookmarkEnd w:id="10"/>
      <w:bookmarkEnd w:id="11"/>
    </w:p>
    <w:p w:rsidR="00B10F48" w:rsidRDefault="00B10F48" w:rsidP="00B10F48">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4</w:t>
      </w:r>
      <w:r w:rsidR="006902CB">
        <w:rPr>
          <w:noProof/>
        </w:rPr>
        <w:fldChar w:fldCharType="end"/>
      </w:r>
      <w:r>
        <w:t>: Total debt/Total capital analysis</w:t>
      </w:r>
    </w:p>
    <w:p w:rsidR="005A5AD4" w:rsidRDefault="005A5AD4" w:rsidP="00DF5A53">
      <w:r>
        <w:rPr>
          <w:noProof/>
        </w:rPr>
        <w:drawing>
          <wp:inline distT="0" distB="0" distL="0" distR="0" wp14:anchorId="24311B18" wp14:editId="0AE93499">
            <wp:extent cx="5834062" cy="3124200"/>
            <wp:effectExtent l="0" t="0" r="1460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616BF">
        <w:t xml:space="preserve"> </w:t>
      </w:r>
    </w:p>
    <w:p w:rsidR="00A616BF" w:rsidRDefault="00A616BF" w:rsidP="00DF5A53">
      <w:r>
        <w:tab/>
        <w:t xml:space="preserve">Total debt to total capital ratio shows proportion of debt funding used to finance the </w:t>
      </w:r>
      <w:r w:rsidR="00DD30D0">
        <w:t>resources</w:t>
      </w:r>
      <w:r>
        <w:t xml:space="preserve"> of the firm. </w:t>
      </w:r>
      <w:r w:rsidR="00DD30D0">
        <w:t xml:space="preserve">As higher debt ratio increases default risk it’s not recommended that companies have higher debt ratio or increasing debt level. Moreover, as it belongs to financial structure ratios, it’s desirable that the ratio remains stable. </w:t>
      </w:r>
      <w:r w:rsidR="00FB7E0A">
        <w:t>Debt ratio of Morrison is increasing since 2011 year on year which i</w:t>
      </w:r>
      <w:r w:rsidR="00367405">
        <w:t>s somewhere negative indicator</w:t>
      </w:r>
      <w:r w:rsidR="001C204B">
        <w:t xml:space="preserve"> </w:t>
      </w:r>
      <w:r w:rsidR="001C204B">
        <w:rPr>
          <w:rStyle w:val="selectable"/>
        </w:rPr>
        <w:t>(GÂDOIU, 2014)</w:t>
      </w:r>
      <w:r w:rsidR="00367405">
        <w:t xml:space="preserve">. Debt ratio of Tesco and J Sainsbury is stable over the years but debt ratio of J Sainsbury has been more stable. </w:t>
      </w:r>
    </w:p>
    <w:p w:rsidR="008201BE" w:rsidRDefault="008201BE" w:rsidP="00DF5A53">
      <w:r>
        <w:tab/>
        <w:t xml:space="preserve">Debt ratio of WM Morrison Supermarkets Plc increased from 0.16 to 0.39 between 2011 to 2014. </w:t>
      </w:r>
    </w:p>
    <w:p w:rsidR="002F6C4B" w:rsidRDefault="002F6C4B" w:rsidP="00DF5A53"/>
    <w:p w:rsidR="005A49E3" w:rsidRDefault="005A49E3" w:rsidP="005A49E3">
      <w:r>
        <w:t>Individual performance:</w:t>
      </w:r>
    </w:p>
    <w:p w:rsidR="00405EAF" w:rsidRDefault="005A49E3" w:rsidP="00405EAF">
      <w:r>
        <w:tab/>
      </w:r>
      <w:r w:rsidRPr="00D40B02">
        <w:rPr>
          <w:b/>
        </w:rPr>
        <w:t>Best performing</w:t>
      </w:r>
      <w:r>
        <w:t xml:space="preserve">: </w:t>
      </w:r>
      <w:r w:rsidR="00E808AC">
        <w:t>Tesco Plc</w:t>
      </w:r>
      <w:r w:rsidR="007D69FD">
        <w:t xml:space="preserve">, </w:t>
      </w:r>
      <w:r w:rsidRPr="00D40B02">
        <w:rPr>
          <w:b/>
        </w:rPr>
        <w:t>Worst performing:</w:t>
      </w:r>
      <w:r>
        <w:t xml:space="preserve"> </w:t>
      </w:r>
      <w:r w:rsidR="00405EAF">
        <w:t>WM Morrison Supermarkets Plc</w:t>
      </w:r>
    </w:p>
    <w:p w:rsidR="005A49E3" w:rsidRDefault="005A49E3" w:rsidP="005A49E3">
      <w:r>
        <w:t>Overall:</w:t>
      </w:r>
    </w:p>
    <w:p w:rsidR="005A49E3" w:rsidRDefault="005A49E3" w:rsidP="005A49E3">
      <w:r>
        <w:tab/>
      </w:r>
      <w:r w:rsidRPr="00D40B02">
        <w:rPr>
          <w:b/>
        </w:rPr>
        <w:t>Best performing:</w:t>
      </w:r>
      <w:r w:rsidR="005C1804">
        <w:t xml:space="preserve"> J </w:t>
      </w:r>
      <w:r w:rsidR="00DB7AFD">
        <w:t>Sainsbury</w:t>
      </w:r>
      <w:r w:rsidR="005C1804">
        <w:t xml:space="preserve"> Plc</w:t>
      </w:r>
      <w:r w:rsidR="007D69FD">
        <w:t xml:space="preserve">, </w:t>
      </w:r>
      <w:r w:rsidRPr="00D40B02">
        <w:rPr>
          <w:b/>
        </w:rPr>
        <w:t>Worst performing:</w:t>
      </w:r>
      <w:r>
        <w:t xml:space="preserve"> </w:t>
      </w:r>
      <w:r w:rsidR="002928AC">
        <w:t>Tesco Plc</w:t>
      </w:r>
    </w:p>
    <w:p w:rsidR="002E55EF" w:rsidRDefault="002E55EF" w:rsidP="00ED0D52">
      <w:pPr>
        <w:pStyle w:val="Heading3"/>
      </w:pPr>
      <w:bookmarkStart w:id="12" w:name="_Toc448019863"/>
      <w:bookmarkStart w:id="13" w:name="_Toc448030083"/>
      <w:r>
        <w:lastRenderedPageBreak/>
        <w:t>Asset Tur</w:t>
      </w:r>
      <w:r w:rsidR="00A50AFC">
        <w:t>n</w:t>
      </w:r>
      <w:r>
        <w:t>over</w:t>
      </w:r>
      <w:bookmarkEnd w:id="12"/>
      <w:bookmarkEnd w:id="13"/>
    </w:p>
    <w:p w:rsidR="00320293" w:rsidRPr="00320293" w:rsidRDefault="00320293" w:rsidP="00320293"/>
    <w:p w:rsidR="001453DC" w:rsidRDefault="001453DC" w:rsidP="001453DC">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5</w:t>
      </w:r>
      <w:r w:rsidR="006902CB">
        <w:rPr>
          <w:noProof/>
        </w:rPr>
        <w:fldChar w:fldCharType="end"/>
      </w:r>
      <w:r>
        <w:t>: Total asset tur</w:t>
      </w:r>
      <w:r w:rsidR="00EA7885">
        <w:t>n</w:t>
      </w:r>
      <w:r>
        <w:t>over analysis</w:t>
      </w:r>
    </w:p>
    <w:p w:rsidR="00EC265B" w:rsidRDefault="00EC265B" w:rsidP="00DF5A53">
      <w:r>
        <w:rPr>
          <w:noProof/>
        </w:rPr>
        <w:drawing>
          <wp:inline distT="0" distB="0" distL="0" distR="0" wp14:anchorId="2F9392FF" wp14:editId="4B7B0A11">
            <wp:extent cx="5834062" cy="3124200"/>
            <wp:effectExtent l="0" t="0" r="1460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2E7E" w:rsidRDefault="00C62E7E" w:rsidP="00DF5A53">
      <w:r>
        <w:tab/>
      </w:r>
      <w:r w:rsidR="00B40CC4">
        <w:t xml:space="preserve">Asset turnover ratio shows sales generated over the total assets. </w:t>
      </w:r>
      <w:r w:rsidR="007246C4">
        <w:t xml:space="preserve">Higher ratio shows the firm is able to generate more sales with available assets. Though asset turnover ratio is increasing for Tesco Plc but the ratio is already at lower level than other two companies. </w:t>
      </w:r>
      <w:r w:rsidR="00DB59BD">
        <w:t xml:space="preserve">While </w:t>
      </w:r>
      <w:r w:rsidR="00D93D35">
        <w:t xml:space="preserve">Asset turnover </w:t>
      </w:r>
      <w:r w:rsidR="00D93D35" w:rsidRPr="00306C4B">
        <w:rPr>
          <w:b/>
          <w:i/>
        </w:rPr>
        <w:t>improved</w:t>
      </w:r>
      <w:r w:rsidR="00D93D35">
        <w:t xml:space="preserve"> </w:t>
      </w:r>
      <w:r w:rsidR="00D93D35" w:rsidRPr="00B2338A">
        <w:rPr>
          <w:i/>
        </w:rPr>
        <w:t xml:space="preserve">by 2.42% </w:t>
      </w:r>
      <w:r w:rsidR="00D93D35">
        <w:t xml:space="preserve">for Tesco and </w:t>
      </w:r>
      <w:r w:rsidR="00D93D35" w:rsidRPr="00306C4B">
        <w:rPr>
          <w:b/>
          <w:i/>
        </w:rPr>
        <w:t>declined</w:t>
      </w:r>
      <w:r w:rsidR="00D93D35" w:rsidRPr="004A512F">
        <w:rPr>
          <w:i/>
        </w:rPr>
        <w:t xml:space="preserve"> by 8.29% and 14.14%</w:t>
      </w:r>
      <w:r w:rsidR="00D93D35">
        <w:t xml:space="preserve"> for Morrison and J Sainsbury respectively. </w:t>
      </w:r>
      <w:r w:rsidR="009C0A92">
        <w:t xml:space="preserve">Still, historical performance of J Sainsbury is more reliable than other two players. </w:t>
      </w:r>
    </w:p>
    <w:p w:rsidR="002160BC" w:rsidRDefault="002160BC" w:rsidP="00DF5A53"/>
    <w:p w:rsidR="00036FC3" w:rsidRDefault="00036FC3" w:rsidP="00036FC3">
      <w:r>
        <w:t>Individual performance:</w:t>
      </w:r>
    </w:p>
    <w:p w:rsidR="00036FC3" w:rsidRDefault="00036FC3" w:rsidP="00036FC3">
      <w:r>
        <w:tab/>
      </w:r>
      <w:r w:rsidRPr="007C6D96">
        <w:rPr>
          <w:b/>
        </w:rPr>
        <w:t>Best performing</w:t>
      </w:r>
      <w:r>
        <w:t xml:space="preserve">: </w:t>
      </w:r>
      <w:r w:rsidR="00AB274A">
        <w:t>Tesco Plc</w:t>
      </w:r>
      <w:r w:rsidR="007C6D96">
        <w:t>,</w:t>
      </w:r>
      <w:r>
        <w:tab/>
      </w:r>
      <w:r w:rsidRPr="007C6D96">
        <w:rPr>
          <w:b/>
        </w:rPr>
        <w:t>Worst performing</w:t>
      </w:r>
      <w:r>
        <w:t xml:space="preserve">: </w:t>
      </w:r>
      <w:r w:rsidR="005E60F0">
        <w:t>J Sainsbury</w:t>
      </w:r>
    </w:p>
    <w:p w:rsidR="00036FC3" w:rsidRDefault="00036FC3" w:rsidP="00036FC3">
      <w:r>
        <w:t>Overall:</w:t>
      </w:r>
    </w:p>
    <w:p w:rsidR="00036FC3" w:rsidRDefault="00036FC3" w:rsidP="00036FC3">
      <w:r>
        <w:tab/>
      </w:r>
      <w:r w:rsidRPr="006F4219">
        <w:rPr>
          <w:b/>
        </w:rPr>
        <w:t>Best performing</w:t>
      </w:r>
      <w:r>
        <w:t xml:space="preserve">: J </w:t>
      </w:r>
      <w:r w:rsidR="00C1510C">
        <w:t>Sainsbury</w:t>
      </w:r>
      <w:r w:rsidR="006F4219">
        <w:t xml:space="preserve">, </w:t>
      </w:r>
      <w:r w:rsidRPr="00793609">
        <w:rPr>
          <w:b/>
        </w:rPr>
        <w:t>Worst performing</w:t>
      </w:r>
      <w:r>
        <w:t>: Tesco Plc</w:t>
      </w:r>
    </w:p>
    <w:p w:rsidR="00627BCB" w:rsidRDefault="00E74634" w:rsidP="00310349">
      <w:pPr>
        <w:pStyle w:val="Heading3"/>
      </w:pPr>
      <w:bookmarkStart w:id="14" w:name="_Toc448019864"/>
      <w:bookmarkStart w:id="15" w:name="_Toc448030084"/>
      <w:r>
        <w:lastRenderedPageBreak/>
        <w:t>Inventory Tur</w:t>
      </w:r>
      <w:r w:rsidR="004F4923">
        <w:t>n</w:t>
      </w:r>
      <w:r>
        <w:t>over</w:t>
      </w:r>
      <w:bookmarkEnd w:id="14"/>
      <w:bookmarkEnd w:id="15"/>
    </w:p>
    <w:p w:rsidR="00A3267D" w:rsidRDefault="00A3267D" w:rsidP="00CD77FE">
      <w:pPr>
        <w:pStyle w:val="Caption"/>
        <w:keepNext/>
      </w:pPr>
    </w:p>
    <w:p w:rsidR="00CD77FE" w:rsidRDefault="00CD77FE" w:rsidP="00CD77FE">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6</w:t>
      </w:r>
      <w:r w:rsidR="006902CB">
        <w:rPr>
          <w:noProof/>
        </w:rPr>
        <w:fldChar w:fldCharType="end"/>
      </w:r>
      <w:r>
        <w:t>: Inventory tur</w:t>
      </w:r>
      <w:r w:rsidR="008E376E">
        <w:t>n</w:t>
      </w:r>
      <w:r>
        <w:t>over analysis</w:t>
      </w:r>
    </w:p>
    <w:p w:rsidR="00514619" w:rsidRDefault="00107A50" w:rsidP="00DF5A53">
      <w:r>
        <w:rPr>
          <w:noProof/>
        </w:rPr>
        <w:drawing>
          <wp:inline distT="0" distB="0" distL="0" distR="0" wp14:anchorId="4A3E0850" wp14:editId="48D1D29C">
            <wp:extent cx="5834062" cy="3124200"/>
            <wp:effectExtent l="0" t="0" r="1460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1A4D" w:rsidRDefault="00CD1A4D" w:rsidP="00DF5A53"/>
    <w:p w:rsidR="00B7385C" w:rsidRDefault="006D60AB" w:rsidP="00DF5A53">
      <w:r>
        <w:tab/>
        <w:t>The trend of inventory turnover ratio is declining for all th</w:t>
      </w:r>
      <w:r w:rsidR="00D00A98">
        <w:t>r</w:t>
      </w:r>
      <w:r>
        <w:t xml:space="preserve">ee companies. </w:t>
      </w:r>
      <w:r w:rsidR="00F23669">
        <w:t>Similar to asset turnover ratio, Tesco Plc has lowest inventory turnover ratio which makes firm to hold more inventory to generate $1 r</w:t>
      </w:r>
      <w:r w:rsidR="00BD5473">
        <w:t xml:space="preserve">evenue compared to other firms. Trend of inventory turnover ratio of J Sainsbury and WM Morrison is similar but J Sainsbury performed relatively better than WM Morrison. </w:t>
      </w:r>
      <w:r w:rsidR="009C55F0">
        <w:t xml:space="preserve">Inventory turnover ratio declined by 16.57% and 24.08% for J Sainsbury and WM Morrison respectively. </w:t>
      </w:r>
    </w:p>
    <w:p w:rsidR="004555C3" w:rsidRDefault="004555C3" w:rsidP="00DF5A53"/>
    <w:p w:rsidR="004642D4" w:rsidRDefault="004642D4" w:rsidP="004642D4">
      <w:r>
        <w:t>Individual performance:</w:t>
      </w:r>
    </w:p>
    <w:p w:rsidR="004642D4" w:rsidRDefault="004642D4" w:rsidP="004642D4">
      <w:r>
        <w:tab/>
      </w:r>
      <w:r w:rsidRPr="009B0C0B">
        <w:rPr>
          <w:b/>
        </w:rPr>
        <w:t>Best performing</w:t>
      </w:r>
      <w:r>
        <w:t>: Tesco Plc</w:t>
      </w:r>
      <w:r w:rsidR="00283F05">
        <w:t xml:space="preserve">, </w:t>
      </w:r>
      <w:r w:rsidRPr="00CD3713">
        <w:rPr>
          <w:b/>
        </w:rPr>
        <w:t>Worst performing:</w:t>
      </w:r>
      <w:r>
        <w:t xml:space="preserve"> </w:t>
      </w:r>
      <w:r w:rsidR="003406F4">
        <w:t>WM Morrison Supermarket Plc</w:t>
      </w:r>
    </w:p>
    <w:p w:rsidR="004642D4" w:rsidRDefault="004642D4" w:rsidP="004642D4">
      <w:r>
        <w:t>Overall:</w:t>
      </w:r>
    </w:p>
    <w:p w:rsidR="004642D4" w:rsidRDefault="004642D4" w:rsidP="004642D4">
      <w:r>
        <w:tab/>
      </w:r>
      <w:r w:rsidRPr="009B0C0B">
        <w:rPr>
          <w:b/>
        </w:rPr>
        <w:t>Best performing</w:t>
      </w:r>
      <w:r>
        <w:t>: J Sainsbury</w:t>
      </w:r>
      <w:r w:rsidR="00283F05">
        <w:t xml:space="preserve">, </w:t>
      </w:r>
      <w:r w:rsidRPr="00536A00">
        <w:rPr>
          <w:b/>
        </w:rPr>
        <w:t>Worst performing</w:t>
      </w:r>
      <w:r>
        <w:t>: Tesco Plc</w:t>
      </w:r>
    </w:p>
    <w:p w:rsidR="00327998" w:rsidRDefault="00327998" w:rsidP="00DF5A53"/>
    <w:p w:rsidR="005F725C" w:rsidRDefault="005F725C" w:rsidP="005F725C">
      <w:pPr>
        <w:pStyle w:val="Heading3"/>
      </w:pPr>
      <w:bookmarkStart w:id="16" w:name="_Toc448019865"/>
      <w:bookmarkStart w:id="17" w:name="_Toc448030085"/>
      <w:r>
        <w:lastRenderedPageBreak/>
        <w:t>Gross Margin</w:t>
      </w:r>
      <w:bookmarkEnd w:id="16"/>
      <w:bookmarkEnd w:id="17"/>
    </w:p>
    <w:p w:rsidR="00A3267D" w:rsidRDefault="00A3267D" w:rsidP="00BC7B12">
      <w:pPr>
        <w:pStyle w:val="Caption"/>
        <w:keepNext/>
      </w:pPr>
    </w:p>
    <w:p w:rsidR="00BC7B12" w:rsidRDefault="00BC7B12" w:rsidP="00BC7B12">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7</w:t>
      </w:r>
      <w:r w:rsidR="006902CB">
        <w:rPr>
          <w:noProof/>
        </w:rPr>
        <w:fldChar w:fldCharType="end"/>
      </w:r>
      <w:r>
        <w:t>: Gross margin analysis</w:t>
      </w:r>
    </w:p>
    <w:p w:rsidR="00327998" w:rsidRDefault="00534A53" w:rsidP="00DF5A53">
      <w:r>
        <w:rPr>
          <w:noProof/>
        </w:rPr>
        <w:drawing>
          <wp:inline distT="0" distB="0" distL="0" distR="0" wp14:anchorId="34897394" wp14:editId="1823C47E">
            <wp:extent cx="5834062" cy="3124200"/>
            <wp:effectExtent l="0" t="0" r="14605"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323F" w:rsidRDefault="00353223" w:rsidP="00DF5A53">
      <w:r>
        <w:tab/>
      </w:r>
      <w:r w:rsidR="00817087">
        <w:t xml:space="preserve">Trend of Gross margin is declining for Tesco Plc and WM Morrison Supermarket Plc. Though gross margin of J Sainsbury is lower than other two companies, the company looks more promising than other two because gross margin is improving for J Sainsbury while declining for other two companies. Also, difference between gross margin was significant in 2010 and by 2014 difference is marginal only. </w:t>
      </w:r>
      <w:r w:rsidR="008403BB">
        <w:t>While gross margin of Tesco declined by -1.8%, the gross margin of J Sainsbury improved by 0.</w:t>
      </w:r>
      <w:r w:rsidR="00B4079A">
        <w:t>4%</w:t>
      </w:r>
      <w:r w:rsidR="007C4AF1">
        <w:t xml:space="preserve"> between 2010 to 2014</w:t>
      </w:r>
      <w:r w:rsidR="00B4079A">
        <w:t xml:space="preserve">. </w:t>
      </w:r>
      <w:r w:rsidR="00BE7222">
        <w:t xml:space="preserve">The gross margin of Morrison declined </w:t>
      </w:r>
      <w:r w:rsidR="00BC13E6">
        <w:t>by -0.</w:t>
      </w:r>
      <w:r w:rsidR="00BE7222">
        <w:t xml:space="preserve">8% during same period. </w:t>
      </w:r>
      <w:r w:rsidR="00587E49">
        <w:t>Trend suggest in next two periods gross margin of J Sainsbury would be higher than other two firms.</w:t>
      </w:r>
    </w:p>
    <w:p w:rsidR="00765F3C" w:rsidRDefault="00765F3C" w:rsidP="00DF5A53"/>
    <w:p w:rsidR="002D2117" w:rsidRDefault="002D2117" w:rsidP="002D2117">
      <w:r>
        <w:t>Individual performance:</w:t>
      </w:r>
    </w:p>
    <w:p w:rsidR="002D2117" w:rsidRDefault="002D2117" w:rsidP="002D2117">
      <w:r>
        <w:tab/>
      </w:r>
      <w:r w:rsidRPr="00482441">
        <w:rPr>
          <w:b/>
        </w:rPr>
        <w:t>Best performing</w:t>
      </w:r>
      <w:r>
        <w:t xml:space="preserve">: </w:t>
      </w:r>
      <w:r w:rsidR="00533664">
        <w:t>J Sainsbury</w:t>
      </w:r>
      <w:r w:rsidR="004E4C48">
        <w:t>,</w:t>
      </w:r>
      <w:r w:rsidR="000F5FE7">
        <w:t xml:space="preserve"> </w:t>
      </w:r>
      <w:r w:rsidRPr="00F8790B">
        <w:rPr>
          <w:b/>
        </w:rPr>
        <w:t>Worst performing</w:t>
      </w:r>
      <w:r>
        <w:t xml:space="preserve">: </w:t>
      </w:r>
      <w:r w:rsidR="00097B0A">
        <w:t>Tesco Plc</w:t>
      </w:r>
    </w:p>
    <w:p w:rsidR="002D2117" w:rsidRDefault="002D2117" w:rsidP="002D2117">
      <w:r>
        <w:t>Overall:</w:t>
      </w:r>
    </w:p>
    <w:p w:rsidR="00D23D9B" w:rsidRDefault="002D2117" w:rsidP="00D23D9B">
      <w:r>
        <w:tab/>
      </w:r>
      <w:r w:rsidRPr="00482441">
        <w:rPr>
          <w:b/>
        </w:rPr>
        <w:t>Best performing</w:t>
      </w:r>
      <w:r>
        <w:t xml:space="preserve">: </w:t>
      </w:r>
      <w:r w:rsidR="006A0A3B">
        <w:t>J Sainsbury</w:t>
      </w:r>
      <w:r w:rsidR="00012D1F">
        <w:t xml:space="preserve">, </w:t>
      </w:r>
      <w:r w:rsidRPr="00F8790B">
        <w:rPr>
          <w:b/>
        </w:rPr>
        <w:t>Worst performing</w:t>
      </w:r>
      <w:r>
        <w:t xml:space="preserve">: </w:t>
      </w:r>
      <w:r w:rsidR="00D23D9B">
        <w:t>WM Morrison Supermarket Plc</w:t>
      </w:r>
    </w:p>
    <w:p w:rsidR="00505ACA" w:rsidRDefault="00505ACA" w:rsidP="00505ACA">
      <w:pPr>
        <w:pStyle w:val="Heading3"/>
      </w:pPr>
      <w:bookmarkStart w:id="18" w:name="_Toc448019866"/>
      <w:bookmarkStart w:id="19" w:name="_Toc448030086"/>
      <w:r>
        <w:lastRenderedPageBreak/>
        <w:t>Operating Margin</w:t>
      </w:r>
      <w:bookmarkEnd w:id="18"/>
      <w:bookmarkEnd w:id="19"/>
    </w:p>
    <w:p w:rsidR="000924A3" w:rsidRPr="000924A3" w:rsidRDefault="000924A3" w:rsidP="000924A3"/>
    <w:p w:rsidR="0046160D" w:rsidRDefault="0046160D" w:rsidP="0046160D">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8</w:t>
      </w:r>
      <w:r w:rsidR="006902CB">
        <w:rPr>
          <w:noProof/>
        </w:rPr>
        <w:fldChar w:fldCharType="end"/>
      </w:r>
      <w:r>
        <w:t>: Operating margin analysis</w:t>
      </w:r>
    </w:p>
    <w:p w:rsidR="00FF0613" w:rsidRDefault="00FF0613" w:rsidP="00DF5A53">
      <w:r>
        <w:rPr>
          <w:noProof/>
        </w:rPr>
        <w:drawing>
          <wp:inline distT="0" distB="0" distL="0" distR="0" wp14:anchorId="2F35D371" wp14:editId="3EFD5C55">
            <wp:extent cx="5834062" cy="3124200"/>
            <wp:effectExtent l="0" t="0" r="14605"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6ED" w:rsidRDefault="00365426" w:rsidP="00DF5A53">
      <w:r>
        <w:tab/>
        <w:t xml:space="preserve">The trend of operating margin makes picture of profitability more clear. </w:t>
      </w:r>
      <w:r w:rsidR="00216161">
        <w:t xml:space="preserve">While operating and gross margin of Tesco Plc and WM Morrison is declining year on year and rapidly, Operating margin of J Sainsbury improved year on year and it’s more stable than other firms. </w:t>
      </w:r>
      <w:r w:rsidR="00E93FAF">
        <w:t xml:space="preserve">In 2010, operating margin of J Sainsbury was 3.56% which was lower than other two firms (5.89% and 6.07%) and by the end of 2014 J Sainsbury had operating margin of 4.21% which was higher than other two firms (-0.54%, 4.14%). </w:t>
      </w:r>
      <w:r w:rsidR="00CC385F">
        <w:t xml:space="preserve">WM Morrison suffered most on operating margin as profitability declined from 5.89% to -0.54% in five years. </w:t>
      </w:r>
    </w:p>
    <w:p w:rsidR="004001A5" w:rsidRDefault="004001A5" w:rsidP="004001A5">
      <w:r>
        <w:t>Individual performance:</w:t>
      </w:r>
    </w:p>
    <w:p w:rsidR="004E33D2" w:rsidRDefault="004001A5" w:rsidP="004001A5">
      <w:r>
        <w:tab/>
      </w:r>
      <w:r w:rsidRPr="00F127DB">
        <w:rPr>
          <w:b/>
        </w:rPr>
        <w:t>Best performing</w:t>
      </w:r>
      <w:r>
        <w:t>: J Sainsbury</w:t>
      </w:r>
      <w:r w:rsidR="009144D5">
        <w:t xml:space="preserve">, </w:t>
      </w:r>
      <w:r w:rsidRPr="00F127DB">
        <w:rPr>
          <w:b/>
        </w:rPr>
        <w:t>Worst performing</w:t>
      </w:r>
      <w:r>
        <w:t xml:space="preserve">: </w:t>
      </w:r>
      <w:r w:rsidR="004E33D2">
        <w:t xml:space="preserve">WM Morrison Supermarket Plc </w:t>
      </w:r>
    </w:p>
    <w:p w:rsidR="004001A5" w:rsidRDefault="004001A5" w:rsidP="004001A5">
      <w:r>
        <w:t>Overall:</w:t>
      </w:r>
    </w:p>
    <w:p w:rsidR="004001A5" w:rsidRDefault="004001A5" w:rsidP="004001A5">
      <w:r>
        <w:tab/>
      </w:r>
      <w:r w:rsidRPr="00F127DB">
        <w:rPr>
          <w:b/>
        </w:rPr>
        <w:t>Best performing</w:t>
      </w:r>
      <w:r>
        <w:t>: J Sainsbury</w:t>
      </w:r>
      <w:r w:rsidR="008000B7">
        <w:t xml:space="preserve">, </w:t>
      </w:r>
      <w:r w:rsidRPr="00F127DB">
        <w:rPr>
          <w:b/>
        </w:rPr>
        <w:t>Worst performing</w:t>
      </w:r>
      <w:r>
        <w:t>: WM Morrison Supermarket Plc</w:t>
      </w:r>
    </w:p>
    <w:p w:rsidR="00294E1F" w:rsidRDefault="00294E1F" w:rsidP="00DF5A53"/>
    <w:p w:rsidR="00294E1F" w:rsidRDefault="00294E1F" w:rsidP="00DF5A53"/>
    <w:p w:rsidR="00B0387F" w:rsidRDefault="00B0387F" w:rsidP="00FC60BF">
      <w:pPr>
        <w:pStyle w:val="Heading3"/>
      </w:pPr>
      <w:bookmarkStart w:id="20" w:name="_Toc448019867"/>
      <w:bookmarkStart w:id="21" w:name="_Toc448030087"/>
      <w:r>
        <w:lastRenderedPageBreak/>
        <w:t>Return on assets</w:t>
      </w:r>
      <w:bookmarkEnd w:id="20"/>
      <w:bookmarkEnd w:id="21"/>
    </w:p>
    <w:p w:rsidR="00292A92" w:rsidRPr="00292A92" w:rsidRDefault="00292A92" w:rsidP="00292A92"/>
    <w:p w:rsidR="00C3558D" w:rsidRDefault="00C3558D" w:rsidP="00C3558D">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9</w:t>
      </w:r>
      <w:r w:rsidR="006902CB">
        <w:rPr>
          <w:noProof/>
        </w:rPr>
        <w:fldChar w:fldCharType="end"/>
      </w:r>
      <w:r>
        <w:t>: Return on assets analysis</w:t>
      </w:r>
    </w:p>
    <w:p w:rsidR="00FF0613" w:rsidRDefault="007E1F3D" w:rsidP="00DF5A53">
      <w:r>
        <w:rPr>
          <w:noProof/>
        </w:rPr>
        <w:drawing>
          <wp:inline distT="0" distB="0" distL="0" distR="0" wp14:anchorId="18CC1142" wp14:editId="67BEC56D">
            <wp:extent cx="5834062" cy="3124200"/>
            <wp:effectExtent l="0" t="0" r="14605"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01A6" w:rsidRDefault="00E501A6" w:rsidP="00DF5A53">
      <w:r>
        <w:tab/>
        <w:t xml:space="preserve">WM Morrison generated more return on assets in 2010, 2011, 2012 and 2013 than Tesco Plc and J Sainsbury Plc. </w:t>
      </w:r>
      <w:r w:rsidR="00E92EA1">
        <w:t xml:space="preserve">But there is trend reversal in 2014 and return on assets which remained in range of 6% to 7% during 2010 to 2013 came down to -2.24%. </w:t>
      </w:r>
      <w:r w:rsidR="00B85767">
        <w:t xml:space="preserve">Profit </w:t>
      </w:r>
      <w:r w:rsidR="001123F7">
        <w:t xml:space="preserve">margin of Tesco Plc remained higher for 2010, 2011, 2012 (5.10%, 5.7%%, 6.46%) then it declined to 3.30% in 2013 and improved slightly to 3.81% in 2014. During same period, returns on asset remained consistent than other two firms and it’s higher than other two firms in 2013 and 2014. </w:t>
      </w:r>
      <w:r w:rsidR="006F72AF">
        <w:t xml:space="preserve">On an average J Sainsbury is maintaining operating margin around 5%. </w:t>
      </w:r>
    </w:p>
    <w:p w:rsidR="00065002" w:rsidRDefault="00065002" w:rsidP="00DF5A53"/>
    <w:p w:rsidR="008419F6" w:rsidRDefault="008419F6" w:rsidP="008419F6">
      <w:r>
        <w:t>Individual performance:</w:t>
      </w:r>
    </w:p>
    <w:p w:rsidR="008419F6" w:rsidRDefault="008419F6" w:rsidP="008419F6">
      <w:r>
        <w:tab/>
      </w:r>
      <w:r w:rsidRPr="00F60AC6">
        <w:rPr>
          <w:b/>
        </w:rPr>
        <w:t>Best performing:</w:t>
      </w:r>
      <w:r>
        <w:t xml:space="preserve"> J Sainsbury</w:t>
      </w:r>
      <w:r w:rsidR="00F60AC6">
        <w:t xml:space="preserve">, </w:t>
      </w:r>
      <w:r w:rsidRPr="003E7DA4">
        <w:rPr>
          <w:b/>
        </w:rPr>
        <w:t>Worst performing</w:t>
      </w:r>
      <w:r>
        <w:t xml:space="preserve">: WM Morrison Supermarket Plc </w:t>
      </w:r>
    </w:p>
    <w:p w:rsidR="008419F6" w:rsidRDefault="008419F6" w:rsidP="008419F6">
      <w:r>
        <w:t>Overall:</w:t>
      </w:r>
    </w:p>
    <w:p w:rsidR="008419F6" w:rsidRDefault="008419F6" w:rsidP="008419F6">
      <w:r>
        <w:tab/>
      </w:r>
      <w:r w:rsidRPr="002833ED">
        <w:rPr>
          <w:b/>
        </w:rPr>
        <w:t>Best performing</w:t>
      </w:r>
      <w:r>
        <w:t>: J Sainsbury</w:t>
      </w:r>
      <w:r w:rsidR="0070377B">
        <w:t xml:space="preserve">, </w:t>
      </w:r>
      <w:r w:rsidRPr="002833ED">
        <w:rPr>
          <w:b/>
        </w:rPr>
        <w:t>Worst performing</w:t>
      </w:r>
      <w:r>
        <w:t>: WM Morrison Supermarket Plc</w:t>
      </w:r>
    </w:p>
    <w:p w:rsidR="0065159A" w:rsidRDefault="0065159A" w:rsidP="008419F6"/>
    <w:p w:rsidR="008419F6" w:rsidRDefault="0065159A" w:rsidP="0065159A">
      <w:pPr>
        <w:pStyle w:val="Heading3"/>
      </w:pPr>
      <w:bookmarkStart w:id="22" w:name="_Toc448019868"/>
      <w:bookmarkStart w:id="23" w:name="_Toc448030088"/>
      <w:r>
        <w:lastRenderedPageBreak/>
        <w:t>Return on equity</w:t>
      </w:r>
      <w:bookmarkEnd w:id="22"/>
      <w:bookmarkEnd w:id="23"/>
    </w:p>
    <w:p w:rsidR="00FE586F" w:rsidRPr="00FE586F" w:rsidRDefault="00FE586F" w:rsidP="00FE586F"/>
    <w:p w:rsidR="00E74B70" w:rsidRDefault="00E74B70" w:rsidP="00E74B70">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10</w:t>
      </w:r>
      <w:r w:rsidR="006902CB">
        <w:rPr>
          <w:noProof/>
        </w:rPr>
        <w:fldChar w:fldCharType="end"/>
      </w:r>
      <w:r>
        <w:t>: Return on equity analysis</w:t>
      </w:r>
    </w:p>
    <w:p w:rsidR="007E1F3D" w:rsidRDefault="003C59C6" w:rsidP="00DF5A53">
      <w:r>
        <w:rPr>
          <w:noProof/>
        </w:rPr>
        <w:drawing>
          <wp:inline distT="0" distB="0" distL="0" distR="0" wp14:anchorId="1CA8C622" wp14:editId="11C5D089">
            <wp:extent cx="5834062" cy="3124200"/>
            <wp:effectExtent l="0" t="0" r="1460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20A4" w:rsidRDefault="00004196" w:rsidP="00DF5A53">
      <w:r>
        <w:tab/>
      </w:r>
    </w:p>
    <w:p w:rsidR="00004196" w:rsidRDefault="00004196" w:rsidP="00DF5A53">
      <w:r>
        <w:tab/>
        <w:t xml:space="preserve">Return on equity has similar trend of Return on assets. </w:t>
      </w:r>
      <w:r w:rsidR="00F162EF">
        <w:t xml:space="preserve">Similar to return on assets, return on equity of WM Morrison has trend reversal in 2014. </w:t>
      </w:r>
      <w:r w:rsidR="00673CB6">
        <w:t xml:space="preserve">Except, 2014, return on equity of WM Morrison was between 12% to 13% between 2010 and 2013 which declined to -5% in 2014. </w:t>
      </w:r>
      <w:r w:rsidR="001C13CA">
        <w:t xml:space="preserve">Though return on equity of Tesco Plc has been higher every year except 2013, volatility of returns makes J Sainsbury more promising and better choice for investment. </w:t>
      </w:r>
      <w:r w:rsidR="00463A38">
        <w:t xml:space="preserve">Also, return of equity of J Sainsbury is consistently higher than 10% and witnessed improvement in 2014 (12.09% vs 10.42%) compared to 2013. </w:t>
      </w:r>
    </w:p>
    <w:p w:rsidR="000D2FE5" w:rsidRDefault="000D2FE5" w:rsidP="000D2FE5">
      <w:r>
        <w:t>Individual performance:</w:t>
      </w:r>
    </w:p>
    <w:p w:rsidR="000D2FE5" w:rsidRDefault="000D2FE5" w:rsidP="000D2FE5">
      <w:r>
        <w:tab/>
      </w:r>
      <w:r w:rsidRPr="007F1EBC">
        <w:rPr>
          <w:b/>
        </w:rPr>
        <w:t>Best performing</w:t>
      </w:r>
      <w:r>
        <w:t>: J Sainsbury</w:t>
      </w:r>
      <w:r w:rsidR="007F1EBC">
        <w:t xml:space="preserve">, </w:t>
      </w:r>
      <w:r w:rsidRPr="00BA60EC">
        <w:rPr>
          <w:b/>
        </w:rPr>
        <w:t>Worst performing</w:t>
      </w:r>
      <w:r>
        <w:t xml:space="preserve">: WM Morrison Supermarket Plc </w:t>
      </w:r>
    </w:p>
    <w:p w:rsidR="000D2FE5" w:rsidRDefault="000D2FE5" w:rsidP="000D2FE5">
      <w:r>
        <w:t>Overall:</w:t>
      </w:r>
    </w:p>
    <w:p w:rsidR="000D2FE5" w:rsidRDefault="000D2FE5" w:rsidP="000D2FE5">
      <w:r>
        <w:tab/>
      </w:r>
      <w:r w:rsidRPr="00A865E2">
        <w:rPr>
          <w:b/>
        </w:rPr>
        <w:t>Best performing</w:t>
      </w:r>
      <w:r>
        <w:t>: J Sainsbury</w:t>
      </w:r>
      <w:r w:rsidR="00A865E2">
        <w:t xml:space="preserve">, </w:t>
      </w:r>
      <w:r w:rsidRPr="00745BF3">
        <w:rPr>
          <w:b/>
        </w:rPr>
        <w:t>Worst performing</w:t>
      </w:r>
      <w:r>
        <w:t>: WM Morrison Supermarket Plc</w:t>
      </w:r>
    </w:p>
    <w:p w:rsidR="00FF0613" w:rsidRDefault="002B3D2A" w:rsidP="002B3D2A">
      <w:pPr>
        <w:pStyle w:val="Heading3"/>
      </w:pPr>
      <w:bookmarkStart w:id="24" w:name="_Toc448019869"/>
      <w:bookmarkStart w:id="25" w:name="_Toc448030089"/>
      <w:r>
        <w:lastRenderedPageBreak/>
        <w:t>Non-financial KPI</w:t>
      </w:r>
      <w:r w:rsidR="00F85B16">
        <w:t>:</w:t>
      </w:r>
      <w:bookmarkEnd w:id="24"/>
      <w:bookmarkEnd w:id="25"/>
      <w:r w:rsidR="00F85B16">
        <w:t xml:space="preserve"> </w:t>
      </w:r>
    </w:p>
    <w:p w:rsidR="00833D4B" w:rsidRDefault="00833D4B" w:rsidP="00BB4BE3">
      <w:pPr>
        <w:pStyle w:val="Caption"/>
        <w:keepNext/>
      </w:pPr>
    </w:p>
    <w:p w:rsidR="00BB4BE3" w:rsidRDefault="00BB4BE3" w:rsidP="00BB4BE3">
      <w:pPr>
        <w:pStyle w:val="Caption"/>
        <w:keepNext/>
      </w:pPr>
      <w:bookmarkStart w:id="26" w:name="_Toc448030130"/>
      <w:r>
        <w:t xml:space="preserve">Table </w:t>
      </w:r>
      <w:r w:rsidR="006902CB">
        <w:fldChar w:fldCharType="begin"/>
      </w:r>
      <w:r w:rsidR="006902CB">
        <w:instrText xml:space="preserve"> SEQ Table \* ARABIC </w:instrText>
      </w:r>
      <w:r w:rsidR="006902CB">
        <w:fldChar w:fldCharType="separate"/>
      </w:r>
      <w:r w:rsidR="00427680">
        <w:rPr>
          <w:noProof/>
        </w:rPr>
        <w:t>1</w:t>
      </w:r>
      <w:r w:rsidR="006902CB">
        <w:rPr>
          <w:noProof/>
        </w:rPr>
        <w:fldChar w:fldCharType="end"/>
      </w:r>
      <w:r>
        <w:t>: Average Full Time Employee</w:t>
      </w:r>
      <w:bookmarkEnd w:id="26"/>
    </w:p>
    <w:tbl>
      <w:tblPr>
        <w:tblW w:w="9760" w:type="dxa"/>
        <w:tblLook w:val="04A0" w:firstRow="1" w:lastRow="0" w:firstColumn="1" w:lastColumn="0" w:noHBand="0" w:noVBand="1"/>
      </w:tblPr>
      <w:tblGrid>
        <w:gridCol w:w="3760"/>
        <w:gridCol w:w="664"/>
        <w:gridCol w:w="456"/>
        <w:gridCol w:w="778"/>
        <w:gridCol w:w="442"/>
        <w:gridCol w:w="792"/>
        <w:gridCol w:w="428"/>
        <w:gridCol w:w="806"/>
        <w:gridCol w:w="414"/>
        <w:gridCol w:w="820"/>
        <w:gridCol w:w="400"/>
      </w:tblGrid>
      <w:tr w:rsidR="005D7A26" w:rsidRPr="005D7A26" w:rsidTr="00364B3B">
        <w:trPr>
          <w:trHeight w:val="402"/>
        </w:trPr>
        <w:tc>
          <w:tcPr>
            <w:tcW w:w="3760" w:type="dxa"/>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b/>
                <w:bCs/>
                <w:color w:val="44546A"/>
              </w:rPr>
            </w:pPr>
            <w:r w:rsidRPr="005D7A26">
              <w:rPr>
                <w:rFonts w:ascii="Calibri" w:eastAsia="Times New Roman" w:hAnsi="Calibri" w:cs="Times New Roman"/>
                <w:b/>
                <w:bCs/>
                <w:color w:val="44546A"/>
              </w:rPr>
              <w:t>Average Full Time Employees</w:t>
            </w:r>
          </w:p>
        </w:tc>
        <w:tc>
          <w:tcPr>
            <w:tcW w:w="1120"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2010</w:t>
            </w:r>
          </w:p>
        </w:tc>
        <w:tc>
          <w:tcPr>
            <w:tcW w:w="1220"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2011</w:t>
            </w:r>
          </w:p>
        </w:tc>
        <w:tc>
          <w:tcPr>
            <w:tcW w:w="1220"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2012</w:t>
            </w:r>
          </w:p>
        </w:tc>
        <w:tc>
          <w:tcPr>
            <w:tcW w:w="1220"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2013</w:t>
            </w:r>
          </w:p>
        </w:tc>
        <w:tc>
          <w:tcPr>
            <w:tcW w:w="1220"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2014</w:t>
            </w:r>
          </w:p>
        </w:tc>
      </w:tr>
      <w:tr w:rsidR="005D7A26" w:rsidRPr="005D7A26" w:rsidTr="00364B3B">
        <w:trPr>
          <w:trHeight w:val="402"/>
        </w:trPr>
        <w:tc>
          <w:tcPr>
            <w:tcW w:w="3760" w:type="dxa"/>
            <w:tcBorders>
              <w:top w:val="nil"/>
              <w:left w:val="nil"/>
              <w:bottom w:val="nil"/>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color w:val="000000"/>
              </w:rPr>
            </w:pPr>
            <w:r w:rsidRPr="005D7A26">
              <w:rPr>
                <w:rFonts w:ascii="Calibri" w:eastAsia="Times New Roman" w:hAnsi="Calibri" w:cs="Times New Roman"/>
                <w:color w:val="000000"/>
              </w:rPr>
              <w:t>Tesco PLC</w:t>
            </w:r>
          </w:p>
        </w:tc>
        <w:tc>
          <w:tcPr>
            <w:tcW w:w="11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366,143</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382,049</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401,791</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388,375</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391,868</w:t>
            </w:r>
          </w:p>
        </w:tc>
      </w:tr>
      <w:tr w:rsidR="005D7A26" w:rsidRPr="005D7A26" w:rsidTr="00364B3B">
        <w:trPr>
          <w:trHeight w:val="402"/>
        </w:trPr>
        <w:tc>
          <w:tcPr>
            <w:tcW w:w="3760" w:type="dxa"/>
            <w:tcBorders>
              <w:top w:val="nil"/>
              <w:left w:val="nil"/>
              <w:bottom w:val="nil"/>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color w:val="000000"/>
              </w:rPr>
            </w:pPr>
            <w:r w:rsidRPr="005D7A26">
              <w:rPr>
                <w:rFonts w:ascii="Calibri" w:eastAsia="Times New Roman" w:hAnsi="Calibri" w:cs="Times New Roman"/>
                <w:color w:val="000000"/>
              </w:rPr>
              <w:t>WM Morrison Supermarkets PLC</w:t>
            </w:r>
          </w:p>
        </w:tc>
        <w:tc>
          <w:tcPr>
            <w:tcW w:w="11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90,264</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91,760</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94,114</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95,181</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94,724</w:t>
            </w:r>
          </w:p>
        </w:tc>
      </w:tr>
      <w:tr w:rsidR="005D7A26" w:rsidRPr="005D7A26" w:rsidTr="00364B3B">
        <w:trPr>
          <w:trHeight w:val="402"/>
        </w:trPr>
        <w:tc>
          <w:tcPr>
            <w:tcW w:w="3760" w:type="dxa"/>
            <w:tcBorders>
              <w:top w:val="nil"/>
              <w:left w:val="nil"/>
              <w:bottom w:val="nil"/>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color w:val="000000"/>
              </w:rPr>
            </w:pPr>
            <w:r w:rsidRPr="005D7A26">
              <w:rPr>
                <w:rFonts w:ascii="Calibri" w:eastAsia="Times New Roman" w:hAnsi="Calibri" w:cs="Times New Roman"/>
                <w:color w:val="000000"/>
              </w:rPr>
              <w:t>J Sainsbury plc</w:t>
            </w:r>
          </w:p>
        </w:tc>
        <w:tc>
          <w:tcPr>
            <w:tcW w:w="11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49,400</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49,100</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48,800</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48,100</w:t>
            </w:r>
          </w:p>
        </w:tc>
        <w:tc>
          <w:tcPr>
            <w:tcW w:w="1220"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47,300</w:t>
            </w:r>
          </w:p>
        </w:tc>
      </w:tr>
      <w:tr w:rsidR="005D7A26" w:rsidRPr="005D7A26" w:rsidTr="00364B3B">
        <w:trPr>
          <w:gridAfter w:val="1"/>
          <w:wAfter w:w="400" w:type="dxa"/>
          <w:trHeight w:val="402"/>
        </w:trPr>
        <w:tc>
          <w:tcPr>
            <w:tcW w:w="4424"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b/>
                <w:bCs/>
                <w:color w:val="44546A"/>
              </w:rPr>
            </w:pPr>
            <w:r w:rsidRPr="005D7A26">
              <w:rPr>
                <w:rFonts w:ascii="Calibri" w:eastAsia="Times New Roman" w:hAnsi="Calibri" w:cs="Times New Roman"/>
                <w:b/>
                <w:bCs/>
                <w:color w:val="44546A"/>
              </w:rPr>
              <w:t>Average Full Time Employees</w:t>
            </w:r>
          </w:p>
        </w:tc>
        <w:tc>
          <w:tcPr>
            <w:tcW w:w="1234"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2011</w:t>
            </w:r>
          </w:p>
        </w:tc>
        <w:tc>
          <w:tcPr>
            <w:tcW w:w="1234"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2012</w:t>
            </w:r>
          </w:p>
        </w:tc>
        <w:tc>
          <w:tcPr>
            <w:tcW w:w="1234"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2013</w:t>
            </w:r>
          </w:p>
        </w:tc>
        <w:tc>
          <w:tcPr>
            <w:tcW w:w="1234" w:type="dxa"/>
            <w:gridSpan w:val="2"/>
            <w:tcBorders>
              <w:top w:val="nil"/>
              <w:left w:val="nil"/>
              <w:bottom w:val="single" w:sz="8" w:space="0" w:color="9BC2E6"/>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b/>
                <w:bCs/>
                <w:color w:val="44546A"/>
              </w:rPr>
            </w:pPr>
            <w:r w:rsidRPr="005D7A26">
              <w:rPr>
                <w:rFonts w:ascii="Calibri" w:eastAsia="Times New Roman" w:hAnsi="Calibri" w:cs="Times New Roman"/>
                <w:b/>
                <w:bCs/>
                <w:color w:val="44546A"/>
              </w:rPr>
              <w:t>2014</w:t>
            </w:r>
          </w:p>
        </w:tc>
      </w:tr>
      <w:tr w:rsidR="005D7A26" w:rsidRPr="005D7A26" w:rsidTr="00364B3B">
        <w:trPr>
          <w:gridAfter w:val="1"/>
          <w:wAfter w:w="400" w:type="dxa"/>
          <w:trHeight w:val="402"/>
        </w:trPr>
        <w:tc>
          <w:tcPr>
            <w:tcW w:w="442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color w:val="000000"/>
              </w:rPr>
            </w:pPr>
            <w:r w:rsidRPr="005D7A26">
              <w:rPr>
                <w:rFonts w:ascii="Calibri" w:eastAsia="Times New Roman" w:hAnsi="Calibri" w:cs="Times New Roman"/>
                <w:color w:val="000000"/>
              </w:rPr>
              <w:t>Tesco PLC</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4.3%</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5.2%</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-3.3%</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0.9%</w:t>
            </w:r>
          </w:p>
        </w:tc>
      </w:tr>
      <w:tr w:rsidR="005D7A26" w:rsidRPr="005D7A26" w:rsidTr="00364B3B">
        <w:trPr>
          <w:gridAfter w:val="1"/>
          <w:wAfter w:w="400" w:type="dxa"/>
          <w:trHeight w:val="402"/>
        </w:trPr>
        <w:tc>
          <w:tcPr>
            <w:tcW w:w="442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color w:val="000000"/>
              </w:rPr>
            </w:pPr>
            <w:r w:rsidRPr="005D7A26">
              <w:rPr>
                <w:rFonts w:ascii="Calibri" w:eastAsia="Times New Roman" w:hAnsi="Calibri" w:cs="Times New Roman"/>
                <w:color w:val="000000"/>
              </w:rPr>
              <w:t>WM Morrison Supermarkets PLC</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1.7%</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2.6%</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1.1%</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-0.5%</w:t>
            </w:r>
          </w:p>
        </w:tc>
      </w:tr>
      <w:tr w:rsidR="005D7A26" w:rsidRPr="005D7A26" w:rsidTr="00364B3B">
        <w:trPr>
          <w:gridAfter w:val="1"/>
          <w:wAfter w:w="400" w:type="dxa"/>
          <w:trHeight w:val="402"/>
        </w:trPr>
        <w:tc>
          <w:tcPr>
            <w:tcW w:w="442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rPr>
                <w:rFonts w:ascii="Calibri" w:eastAsia="Times New Roman" w:hAnsi="Calibri" w:cs="Times New Roman"/>
                <w:color w:val="000000"/>
              </w:rPr>
            </w:pPr>
            <w:r w:rsidRPr="005D7A26">
              <w:rPr>
                <w:rFonts w:ascii="Calibri" w:eastAsia="Times New Roman" w:hAnsi="Calibri" w:cs="Times New Roman"/>
                <w:color w:val="000000"/>
              </w:rPr>
              <w:t>J Sainsbury plc</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-0.6%</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-0.6%</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-1.4%</w:t>
            </w:r>
          </w:p>
        </w:tc>
        <w:tc>
          <w:tcPr>
            <w:tcW w:w="1234" w:type="dxa"/>
            <w:gridSpan w:val="2"/>
            <w:tcBorders>
              <w:top w:val="nil"/>
              <w:left w:val="nil"/>
              <w:bottom w:val="nil"/>
              <w:right w:val="nil"/>
            </w:tcBorders>
            <w:shd w:val="clear" w:color="auto" w:fill="auto"/>
            <w:noWrap/>
            <w:vAlign w:val="bottom"/>
            <w:hideMark/>
          </w:tcPr>
          <w:p w:rsidR="005D7A26" w:rsidRPr="005D7A26" w:rsidRDefault="005D7A26" w:rsidP="005D7A26">
            <w:pPr>
              <w:spacing w:line="240" w:lineRule="auto"/>
              <w:jc w:val="right"/>
              <w:rPr>
                <w:rFonts w:ascii="Calibri" w:eastAsia="Times New Roman" w:hAnsi="Calibri" w:cs="Times New Roman"/>
                <w:color w:val="000000"/>
              </w:rPr>
            </w:pPr>
            <w:r w:rsidRPr="005D7A26">
              <w:rPr>
                <w:rFonts w:ascii="Calibri" w:eastAsia="Times New Roman" w:hAnsi="Calibri" w:cs="Times New Roman"/>
                <w:color w:val="000000"/>
              </w:rPr>
              <w:t>-1.7%</w:t>
            </w:r>
          </w:p>
        </w:tc>
      </w:tr>
    </w:tbl>
    <w:p w:rsidR="00AE012D" w:rsidRDefault="00AE012D" w:rsidP="00DF5A53"/>
    <w:p w:rsidR="00DD638C" w:rsidRDefault="00DD638C" w:rsidP="00DD638C">
      <w:pPr>
        <w:pStyle w:val="Caption"/>
        <w:keepNext/>
      </w:pPr>
      <w:r>
        <w:t xml:space="preserve">Figure </w:t>
      </w:r>
      <w:r w:rsidR="006902CB">
        <w:fldChar w:fldCharType="begin"/>
      </w:r>
      <w:r w:rsidR="006902CB">
        <w:instrText xml:space="preserve"> SEQ Figure \* ARABIC </w:instrText>
      </w:r>
      <w:r w:rsidR="006902CB">
        <w:fldChar w:fldCharType="separate"/>
      </w:r>
      <w:r w:rsidR="00B831B3">
        <w:rPr>
          <w:noProof/>
        </w:rPr>
        <w:t>11</w:t>
      </w:r>
      <w:r w:rsidR="006902CB">
        <w:rPr>
          <w:noProof/>
        </w:rPr>
        <w:fldChar w:fldCharType="end"/>
      </w:r>
      <w:r>
        <w:t xml:space="preserve">: Employee base </w:t>
      </w:r>
      <w:r w:rsidR="00F26BEB">
        <w:t>analysis</w:t>
      </w:r>
    </w:p>
    <w:p w:rsidR="00AE012D" w:rsidRDefault="00E03265" w:rsidP="00DF5A53">
      <w:r>
        <w:rPr>
          <w:noProof/>
        </w:rPr>
        <w:drawing>
          <wp:inline distT="0" distB="0" distL="0" distR="0" wp14:anchorId="6CDDC480" wp14:editId="12C84D33">
            <wp:extent cx="5943600" cy="2812415"/>
            <wp:effectExtent l="0" t="0" r="0" b="698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20B7" w:rsidRDefault="004619C5" w:rsidP="003720B7">
      <w:r>
        <w:tab/>
        <w:t xml:space="preserve">Employee base of J Sainsbury is lowest and even reduces over the years which shows the firm is able to achieve higher revenue though </w:t>
      </w:r>
      <w:r w:rsidR="000D5736">
        <w:t xml:space="preserve">numbers of </w:t>
      </w:r>
      <w:r>
        <w:t>average full time employees decreased</w:t>
      </w:r>
      <w:r w:rsidR="00CD436E">
        <w:t xml:space="preserve"> </w:t>
      </w:r>
      <w:r w:rsidR="00CD436E">
        <w:rPr>
          <w:rStyle w:val="selectable"/>
        </w:rPr>
        <w:t>(GÂDOIU, 2014)</w:t>
      </w:r>
      <w:r>
        <w:t xml:space="preserve">. </w:t>
      </w:r>
      <w:r w:rsidR="000E3929">
        <w:t xml:space="preserve">While Tesco plc has highest number of employees has also lowest revenue per employee and year on year employee base improved except 2013. </w:t>
      </w:r>
      <w:r w:rsidR="001533A7">
        <w:t>WM Morrison has employee base round 90,000 to 94,000 between 201</w:t>
      </w:r>
      <w:r w:rsidR="0061248B">
        <w:t>0</w:t>
      </w:r>
      <w:r w:rsidR="001533A7">
        <w:t xml:space="preserve"> to 2014. </w:t>
      </w:r>
    </w:p>
    <w:p w:rsidR="0064249D" w:rsidRDefault="0064249D" w:rsidP="0064249D">
      <w:pPr>
        <w:pStyle w:val="Caption"/>
        <w:keepNext/>
      </w:pPr>
      <w:bookmarkStart w:id="27" w:name="_Toc448030131"/>
      <w:r>
        <w:lastRenderedPageBreak/>
        <w:t xml:space="preserve">Table </w:t>
      </w:r>
      <w:r w:rsidR="006902CB">
        <w:fldChar w:fldCharType="begin"/>
      </w:r>
      <w:r w:rsidR="006902CB">
        <w:instrText xml:space="preserve"> SEQ Table \* ARABIC </w:instrText>
      </w:r>
      <w:r w:rsidR="006902CB">
        <w:fldChar w:fldCharType="separate"/>
      </w:r>
      <w:r w:rsidR="00427680">
        <w:rPr>
          <w:noProof/>
        </w:rPr>
        <w:t>2</w:t>
      </w:r>
      <w:r w:rsidR="006902CB">
        <w:rPr>
          <w:noProof/>
        </w:rPr>
        <w:fldChar w:fldCharType="end"/>
      </w:r>
      <w:r>
        <w:t>: Total sales area (000s square feet)</w:t>
      </w:r>
      <w:bookmarkEnd w:id="27"/>
    </w:p>
    <w:tbl>
      <w:tblPr>
        <w:tblW w:w="9856" w:type="dxa"/>
        <w:tblLook w:val="04A0" w:firstRow="1" w:lastRow="0" w:firstColumn="1" w:lastColumn="0" w:noHBand="0" w:noVBand="1"/>
      </w:tblPr>
      <w:tblGrid>
        <w:gridCol w:w="3776"/>
        <w:gridCol w:w="1136"/>
        <w:gridCol w:w="1236"/>
        <w:gridCol w:w="1236"/>
        <w:gridCol w:w="1236"/>
        <w:gridCol w:w="1236"/>
      </w:tblGrid>
      <w:tr w:rsidR="003720B7" w:rsidRPr="003720B7" w:rsidTr="003720B7">
        <w:trPr>
          <w:trHeight w:val="402"/>
        </w:trPr>
        <w:tc>
          <w:tcPr>
            <w:tcW w:w="3776" w:type="dxa"/>
            <w:tcBorders>
              <w:top w:val="nil"/>
              <w:left w:val="nil"/>
              <w:bottom w:val="single" w:sz="8" w:space="0" w:color="9BC2E6"/>
              <w:right w:val="nil"/>
            </w:tcBorders>
            <w:shd w:val="clear" w:color="auto" w:fill="auto"/>
            <w:noWrap/>
            <w:vAlign w:val="bottom"/>
            <w:hideMark/>
          </w:tcPr>
          <w:p w:rsidR="003720B7" w:rsidRPr="003720B7" w:rsidRDefault="003720B7" w:rsidP="003720B7">
            <w:pPr>
              <w:spacing w:line="240" w:lineRule="auto"/>
              <w:rPr>
                <w:rFonts w:ascii="Calibri" w:eastAsia="Times New Roman" w:hAnsi="Calibri" w:cs="Times New Roman"/>
                <w:b/>
                <w:bCs/>
                <w:color w:val="44546A"/>
              </w:rPr>
            </w:pPr>
            <w:r w:rsidRPr="003720B7">
              <w:rPr>
                <w:rFonts w:ascii="Calibri" w:eastAsia="Times New Roman" w:hAnsi="Calibri" w:cs="Times New Roman"/>
                <w:b/>
                <w:bCs/>
                <w:color w:val="44546A"/>
              </w:rPr>
              <w:t>Total Sales Area (000s sqft</w:t>
            </w:r>
            <w:r>
              <w:rPr>
                <w:rFonts w:ascii="Calibri" w:eastAsia="Times New Roman" w:hAnsi="Calibri" w:cs="Times New Roman"/>
                <w:b/>
                <w:bCs/>
                <w:color w:val="44546A"/>
              </w:rPr>
              <w:t>.</w:t>
            </w:r>
            <w:r w:rsidRPr="003720B7">
              <w:rPr>
                <w:rFonts w:ascii="Calibri" w:eastAsia="Times New Roman" w:hAnsi="Calibri" w:cs="Times New Roman"/>
                <w:b/>
                <w:bCs/>
                <w:color w:val="44546A"/>
              </w:rPr>
              <w:t>)</w:t>
            </w:r>
          </w:p>
        </w:tc>
        <w:tc>
          <w:tcPr>
            <w:tcW w:w="1136" w:type="dxa"/>
            <w:tcBorders>
              <w:top w:val="nil"/>
              <w:left w:val="nil"/>
              <w:bottom w:val="single" w:sz="8" w:space="0" w:color="9BC2E6"/>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b/>
                <w:bCs/>
                <w:color w:val="44546A"/>
              </w:rPr>
            </w:pPr>
            <w:r w:rsidRPr="003720B7">
              <w:rPr>
                <w:rFonts w:ascii="Calibri" w:eastAsia="Times New Roman" w:hAnsi="Calibri" w:cs="Times New Roman"/>
                <w:b/>
                <w:bCs/>
                <w:color w:val="44546A"/>
              </w:rPr>
              <w:t>2010</w:t>
            </w:r>
          </w:p>
        </w:tc>
        <w:tc>
          <w:tcPr>
            <w:tcW w:w="1236" w:type="dxa"/>
            <w:tcBorders>
              <w:top w:val="nil"/>
              <w:left w:val="nil"/>
              <w:bottom w:val="single" w:sz="8" w:space="0" w:color="9BC2E6"/>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b/>
                <w:bCs/>
                <w:color w:val="44546A"/>
              </w:rPr>
            </w:pPr>
            <w:r w:rsidRPr="003720B7">
              <w:rPr>
                <w:rFonts w:ascii="Calibri" w:eastAsia="Times New Roman" w:hAnsi="Calibri" w:cs="Times New Roman"/>
                <w:b/>
                <w:bCs/>
                <w:color w:val="44546A"/>
              </w:rPr>
              <w:t>2011</w:t>
            </w:r>
          </w:p>
        </w:tc>
        <w:tc>
          <w:tcPr>
            <w:tcW w:w="1236" w:type="dxa"/>
            <w:tcBorders>
              <w:top w:val="nil"/>
              <w:left w:val="nil"/>
              <w:bottom w:val="single" w:sz="8" w:space="0" w:color="9BC2E6"/>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b/>
                <w:bCs/>
                <w:color w:val="44546A"/>
              </w:rPr>
            </w:pPr>
            <w:r w:rsidRPr="003720B7">
              <w:rPr>
                <w:rFonts w:ascii="Calibri" w:eastAsia="Times New Roman" w:hAnsi="Calibri" w:cs="Times New Roman"/>
                <w:b/>
                <w:bCs/>
                <w:color w:val="44546A"/>
              </w:rPr>
              <w:t>2012</w:t>
            </w:r>
          </w:p>
        </w:tc>
        <w:tc>
          <w:tcPr>
            <w:tcW w:w="1236" w:type="dxa"/>
            <w:tcBorders>
              <w:top w:val="nil"/>
              <w:left w:val="nil"/>
              <w:bottom w:val="single" w:sz="8" w:space="0" w:color="9BC2E6"/>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b/>
                <w:bCs/>
                <w:color w:val="44546A"/>
              </w:rPr>
            </w:pPr>
            <w:r w:rsidRPr="003720B7">
              <w:rPr>
                <w:rFonts w:ascii="Calibri" w:eastAsia="Times New Roman" w:hAnsi="Calibri" w:cs="Times New Roman"/>
                <w:b/>
                <w:bCs/>
                <w:color w:val="44546A"/>
              </w:rPr>
              <w:t>2013</w:t>
            </w:r>
          </w:p>
        </w:tc>
        <w:tc>
          <w:tcPr>
            <w:tcW w:w="1236" w:type="dxa"/>
            <w:tcBorders>
              <w:top w:val="nil"/>
              <w:left w:val="nil"/>
              <w:bottom w:val="single" w:sz="8" w:space="0" w:color="9BC2E6"/>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b/>
                <w:bCs/>
                <w:color w:val="44546A"/>
              </w:rPr>
            </w:pPr>
            <w:r w:rsidRPr="003720B7">
              <w:rPr>
                <w:rFonts w:ascii="Calibri" w:eastAsia="Times New Roman" w:hAnsi="Calibri" w:cs="Times New Roman"/>
                <w:b/>
                <w:bCs/>
                <w:color w:val="44546A"/>
              </w:rPr>
              <w:t>2014</w:t>
            </w:r>
          </w:p>
        </w:tc>
      </w:tr>
      <w:tr w:rsidR="003720B7" w:rsidRPr="003720B7" w:rsidTr="003720B7">
        <w:trPr>
          <w:trHeight w:val="402"/>
        </w:trPr>
        <w:tc>
          <w:tcPr>
            <w:tcW w:w="377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rPr>
                <w:rFonts w:ascii="Calibri" w:eastAsia="Times New Roman" w:hAnsi="Calibri" w:cs="Times New Roman"/>
                <w:color w:val="000000"/>
              </w:rPr>
            </w:pPr>
            <w:r w:rsidRPr="003720B7">
              <w:rPr>
                <w:rFonts w:ascii="Calibri" w:eastAsia="Times New Roman" w:hAnsi="Calibri" w:cs="Times New Roman"/>
                <w:color w:val="000000"/>
              </w:rPr>
              <w:t>Tesco PLC</w:t>
            </w:r>
          </w:p>
        </w:tc>
        <w:tc>
          <w:tcPr>
            <w:tcW w:w="11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95,231</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103,172</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110,563</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106,040</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109,572</w:t>
            </w:r>
          </w:p>
        </w:tc>
      </w:tr>
      <w:tr w:rsidR="003720B7" w:rsidRPr="003720B7" w:rsidTr="003720B7">
        <w:trPr>
          <w:trHeight w:val="402"/>
        </w:trPr>
        <w:tc>
          <w:tcPr>
            <w:tcW w:w="377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rPr>
                <w:rFonts w:ascii="Calibri" w:eastAsia="Times New Roman" w:hAnsi="Calibri" w:cs="Times New Roman"/>
                <w:color w:val="000000"/>
              </w:rPr>
            </w:pPr>
            <w:r w:rsidRPr="003720B7">
              <w:rPr>
                <w:rFonts w:ascii="Calibri" w:eastAsia="Times New Roman" w:hAnsi="Calibri" w:cs="Times New Roman"/>
                <w:color w:val="000000"/>
              </w:rPr>
              <w:t>WM Morrison Supermarkets PLC</w:t>
            </w:r>
          </w:p>
        </w:tc>
        <w:tc>
          <w:tcPr>
            <w:tcW w:w="11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14,233</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13,421</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12,904</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12,261</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11,867</w:t>
            </w:r>
          </w:p>
        </w:tc>
      </w:tr>
      <w:tr w:rsidR="003720B7" w:rsidRPr="003720B7" w:rsidTr="003720B7">
        <w:trPr>
          <w:trHeight w:val="402"/>
        </w:trPr>
        <w:tc>
          <w:tcPr>
            <w:tcW w:w="377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rPr>
                <w:rFonts w:ascii="Calibri" w:eastAsia="Times New Roman" w:hAnsi="Calibri" w:cs="Times New Roman"/>
                <w:color w:val="000000"/>
              </w:rPr>
            </w:pPr>
            <w:r w:rsidRPr="003720B7">
              <w:rPr>
                <w:rFonts w:ascii="Calibri" w:eastAsia="Times New Roman" w:hAnsi="Calibri" w:cs="Times New Roman"/>
                <w:color w:val="000000"/>
              </w:rPr>
              <w:t>J Sainsbury plc</w:t>
            </w:r>
          </w:p>
        </w:tc>
        <w:tc>
          <w:tcPr>
            <w:tcW w:w="11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17,742</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19,108</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20,347</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21,265</w:t>
            </w:r>
          </w:p>
        </w:tc>
        <w:tc>
          <w:tcPr>
            <w:tcW w:w="1236" w:type="dxa"/>
            <w:tcBorders>
              <w:top w:val="nil"/>
              <w:left w:val="nil"/>
              <w:bottom w:val="nil"/>
              <w:right w:val="nil"/>
            </w:tcBorders>
            <w:shd w:val="clear" w:color="auto" w:fill="auto"/>
            <w:noWrap/>
            <w:vAlign w:val="bottom"/>
            <w:hideMark/>
          </w:tcPr>
          <w:p w:rsidR="003720B7" w:rsidRPr="003720B7" w:rsidRDefault="003720B7" w:rsidP="003720B7">
            <w:pPr>
              <w:spacing w:line="240" w:lineRule="auto"/>
              <w:jc w:val="right"/>
              <w:rPr>
                <w:rFonts w:ascii="Calibri" w:eastAsia="Times New Roman" w:hAnsi="Calibri" w:cs="Times New Roman"/>
                <w:color w:val="000000"/>
              </w:rPr>
            </w:pPr>
            <w:r w:rsidRPr="003720B7">
              <w:rPr>
                <w:rFonts w:ascii="Calibri" w:eastAsia="Times New Roman" w:hAnsi="Calibri" w:cs="Times New Roman"/>
                <w:color w:val="000000"/>
              </w:rPr>
              <w:t>22,160</w:t>
            </w:r>
          </w:p>
        </w:tc>
      </w:tr>
    </w:tbl>
    <w:p w:rsidR="003720B7" w:rsidRDefault="003720B7" w:rsidP="003720B7"/>
    <w:tbl>
      <w:tblPr>
        <w:tblW w:w="5000" w:type="pct"/>
        <w:tblLook w:val="04A0" w:firstRow="1" w:lastRow="0" w:firstColumn="1" w:lastColumn="0" w:noHBand="0" w:noVBand="1"/>
      </w:tblPr>
      <w:tblGrid>
        <w:gridCol w:w="4424"/>
        <w:gridCol w:w="1234"/>
        <w:gridCol w:w="1234"/>
        <w:gridCol w:w="1234"/>
        <w:gridCol w:w="1234"/>
      </w:tblGrid>
      <w:tr w:rsidR="00584EE0" w:rsidRPr="00584EE0" w:rsidTr="00584EE0">
        <w:trPr>
          <w:trHeight w:val="402"/>
        </w:trPr>
        <w:tc>
          <w:tcPr>
            <w:tcW w:w="2363" w:type="pct"/>
            <w:tcBorders>
              <w:top w:val="nil"/>
              <w:left w:val="nil"/>
              <w:bottom w:val="single" w:sz="8" w:space="0" w:color="9BC2E6"/>
              <w:right w:val="nil"/>
            </w:tcBorders>
            <w:shd w:val="clear" w:color="auto" w:fill="auto"/>
            <w:noWrap/>
            <w:vAlign w:val="bottom"/>
            <w:hideMark/>
          </w:tcPr>
          <w:p w:rsidR="00584EE0" w:rsidRPr="00584EE0" w:rsidRDefault="00584EE0" w:rsidP="00584EE0">
            <w:pPr>
              <w:spacing w:line="240" w:lineRule="auto"/>
              <w:rPr>
                <w:rFonts w:ascii="Calibri" w:eastAsia="Times New Roman" w:hAnsi="Calibri" w:cs="Times New Roman"/>
                <w:b/>
                <w:bCs/>
                <w:color w:val="44546A"/>
              </w:rPr>
            </w:pPr>
            <w:r w:rsidRPr="00584EE0">
              <w:rPr>
                <w:rFonts w:ascii="Calibri" w:eastAsia="Times New Roman" w:hAnsi="Calibri" w:cs="Times New Roman"/>
                <w:b/>
                <w:bCs/>
                <w:color w:val="44546A"/>
              </w:rPr>
              <w:t>Total Sales Area (000s sqft)</w:t>
            </w:r>
          </w:p>
        </w:tc>
        <w:tc>
          <w:tcPr>
            <w:tcW w:w="659" w:type="pct"/>
            <w:tcBorders>
              <w:top w:val="nil"/>
              <w:left w:val="nil"/>
              <w:bottom w:val="single" w:sz="8" w:space="0" w:color="9BC2E6"/>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b/>
                <w:bCs/>
                <w:color w:val="44546A"/>
              </w:rPr>
            </w:pPr>
            <w:r w:rsidRPr="00584EE0">
              <w:rPr>
                <w:rFonts w:ascii="Calibri" w:eastAsia="Times New Roman" w:hAnsi="Calibri" w:cs="Times New Roman"/>
                <w:b/>
                <w:bCs/>
                <w:color w:val="44546A"/>
              </w:rPr>
              <w:t>2011</w:t>
            </w:r>
          </w:p>
        </w:tc>
        <w:tc>
          <w:tcPr>
            <w:tcW w:w="659" w:type="pct"/>
            <w:tcBorders>
              <w:top w:val="nil"/>
              <w:left w:val="nil"/>
              <w:bottom w:val="single" w:sz="8" w:space="0" w:color="9BC2E6"/>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b/>
                <w:bCs/>
                <w:color w:val="44546A"/>
              </w:rPr>
            </w:pPr>
            <w:r w:rsidRPr="00584EE0">
              <w:rPr>
                <w:rFonts w:ascii="Calibri" w:eastAsia="Times New Roman" w:hAnsi="Calibri" w:cs="Times New Roman"/>
                <w:b/>
                <w:bCs/>
                <w:color w:val="44546A"/>
              </w:rPr>
              <w:t>2012</w:t>
            </w:r>
          </w:p>
        </w:tc>
        <w:tc>
          <w:tcPr>
            <w:tcW w:w="659" w:type="pct"/>
            <w:tcBorders>
              <w:top w:val="nil"/>
              <w:left w:val="nil"/>
              <w:bottom w:val="single" w:sz="8" w:space="0" w:color="9BC2E6"/>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b/>
                <w:bCs/>
                <w:color w:val="44546A"/>
              </w:rPr>
            </w:pPr>
            <w:r w:rsidRPr="00584EE0">
              <w:rPr>
                <w:rFonts w:ascii="Calibri" w:eastAsia="Times New Roman" w:hAnsi="Calibri" w:cs="Times New Roman"/>
                <w:b/>
                <w:bCs/>
                <w:color w:val="44546A"/>
              </w:rPr>
              <w:t>2013</w:t>
            </w:r>
          </w:p>
        </w:tc>
        <w:tc>
          <w:tcPr>
            <w:tcW w:w="659" w:type="pct"/>
            <w:tcBorders>
              <w:top w:val="nil"/>
              <w:left w:val="nil"/>
              <w:bottom w:val="single" w:sz="8" w:space="0" w:color="9BC2E6"/>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b/>
                <w:bCs/>
                <w:color w:val="44546A"/>
              </w:rPr>
            </w:pPr>
            <w:r w:rsidRPr="00584EE0">
              <w:rPr>
                <w:rFonts w:ascii="Calibri" w:eastAsia="Times New Roman" w:hAnsi="Calibri" w:cs="Times New Roman"/>
                <w:b/>
                <w:bCs/>
                <w:color w:val="44546A"/>
              </w:rPr>
              <w:t>2014</w:t>
            </w:r>
          </w:p>
        </w:tc>
      </w:tr>
      <w:tr w:rsidR="00584EE0" w:rsidRPr="00584EE0" w:rsidTr="00584EE0">
        <w:trPr>
          <w:trHeight w:val="402"/>
        </w:trPr>
        <w:tc>
          <w:tcPr>
            <w:tcW w:w="2363" w:type="pct"/>
            <w:tcBorders>
              <w:top w:val="nil"/>
              <w:left w:val="nil"/>
              <w:bottom w:val="nil"/>
              <w:right w:val="nil"/>
            </w:tcBorders>
            <w:shd w:val="clear" w:color="auto" w:fill="auto"/>
            <w:noWrap/>
            <w:vAlign w:val="bottom"/>
            <w:hideMark/>
          </w:tcPr>
          <w:p w:rsidR="00584EE0" w:rsidRPr="00584EE0" w:rsidRDefault="00584EE0" w:rsidP="00584EE0">
            <w:pPr>
              <w:spacing w:line="240" w:lineRule="auto"/>
              <w:rPr>
                <w:rFonts w:ascii="Calibri" w:eastAsia="Times New Roman" w:hAnsi="Calibri" w:cs="Times New Roman"/>
                <w:color w:val="000000"/>
              </w:rPr>
            </w:pPr>
            <w:r w:rsidRPr="00584EE0">
              <w:rPr>
                <w:rFonts w:ascii="Calibri" w:eastAsia="Times New Roman" w:hAnsi="Calibri" w:cs="Times New Roman"/>
                <w:color w:val="000000"/>
              </w:rPr>
              <w:t>Tesco PLC</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8.3%</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7.2%</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-4.1%</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3.3%</w:t>
            </w:r>
          </w:p>
        </w:tc>
      </w:tr>
      <w:tr w:rsidR="00584EE0" w:rsidRPr="00584EE0" w:rsidTr="00584EE0">
        <w:trPr>
          <w:trHeight w:val="402"/>
        </w:trPr>
        <w:tc>
          <w:tcPr>
            <w:tcW w:w="2363" w:type="pct"/>
            <w:tcBorders>
              <w:top w:val="nil"/>
              <w:left w:val="nil"/>
              <w:bottom w:val="nil"/>
              <w:right w:val="nil"/>
            </w:tcBorders>
            <w:shd w:val="clear" w:color="auto" w:fill="auto"/>
            <w:noWrap/>
            <w:vAlign w:val="bottom"/>
            <w:hideMark/>
          </w:tcPr>
          <w:p w:rsidR="00584EE0" w:rsidRPr="00584EE0" w:rsidRDefault="00584EE0" w:rsidP="00584EE0">
            <w:pPr>
              <w:spacing w:line="240" w:lineRule="auto"/>
              <w:rPr>
                <w:rFonts w:ascii="Calibri" w:eastAsia="Times New Roman" w:hAnsi="Calibri" w:cs="Times New Roman"/>
                <w:color w:val="000000"/>
              </w:rPr>
            </w:pPr>
            <w:r w:rsidRPr="00584EE0">
              <w:rPr>
                <w:rFonts w:ascii="Calibri" w:eastAsia="Times New Roman" w:hAnsi="Calibri" w:cs="Times New Roman"/>
                <w:color w:val="000000"/>
              </w:rPr>
              <w:t>WM Morrison Supermarkets PLC</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-5.7%</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-3.9%</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-5.0%</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-3.2%</w:t>
            </w:r>
          </w:p>
        </w:tc>
      </w:tr>
      <w:tr w:rsidR="00584EE0" w:rsidRPr="00584EE0" w:rsidTr="00584EE0">
        <w:trPr>
          <w:trHeight w:val="402"/>
        </w:trPr>
        <w:tc>
          <w:tcPr>
            <w:tcW w:w="2363" w:type="pct"/>
            <w:tcBorders>
              <w:top w:val="nil"/>
              <w:left w:val="nil"/>
              <w:bottom w:val="nil"/>
              <w:right w:val="nil"/>
            </w:tcBorders>
            <w:shd w:val="clear" w:color="auto" w:fill="auto"/>
            <w:noWrap/>
            <w:vAlign w:val="bottom"/>
            <w:hideMark/>
          </w:tcPr>
          <w:p w:rsidR="00584EE0" w:rsidRPr="00584EE0" w:rsidRDefault="00584EE0" w:rsidP="00584EE0">
            <w:pPr>
              <w:spacing w:line="240" w:lineRule="auto"/>
              <w:rPr>
                <w:rFonts w:ascii="Calibri" w:eastAsia="Times New Roman" w:hAnsi="Calibri" w:cs="Times New Roman"/>
                <w:color w:val="000000"/>
              </w:rPr>
            </w:pPr>
            <w:r w:rsidRPr="00584EE0">
              <w:rPr>
                <w:rFonts w:ascii="Calibri" w:eastAsia="Times New Roman" w:hAnsi="Calibri" w:cs="Times New Roman"/>
                <w:color w:val="000000"/>
              </w:rPr>
              <w:t>J Sainsbury plc</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7.7%</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6.5%</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4.5%</w:t>
            </w:r>
          </w:p>
        </w:tc>
        <w:tc>
          <w:tcPr>
            <w:tcW w:w="659" w:type="pct"/>
            <w:tcBorders>
              <w:top w:val="nil"/>
              <w:left w:val="nil"/>
              <w:bottom w:val="nil"/>
              <w:right w:val="nil"/>
            </w:tcBorders>
            <w:shd w:val="clear" w:color="auto" w:fill="auto"/>
            <w:noWrap/>
            <w:vAlign w:val="bottom"/>
            <w:hideMark/>
          </w:tcPr>
          <w:p w:rsidR="00584EE0" w:rsidRPr="00584EE0" w:rsidRDefault="00584EE0" w:rsidP="00584EE0">
            <w:pPr>
              <w:spacing w:line="240" w:lineRule="auto"/>
              <w:jc w:val="right"/>
              <w:rPr>
                <w:rFonts w:ascii="Calibri" w:eastAsia="Times New Roman" w:hAnsi="Calibri" w:cs="Times New Roman"/>
                <w:color w:val="000000"/>
              </w:rPr>
            </w:pPr>
            <w:r w:rsidRPr="00584EE0">
              <w:rPr>
                <w:rFonts w:ascii="Calibri" w:eastAsia="Times New Roman" w:hAnsi="Calibri" w:cs="Times New Roman"/>
                <w:color w:val="000000"/>
              </w:rPr>
              <w:t>4.2%</w:t>
            </w:r>
          </w:p>
        </w:tc>
      </w:tr>
    </w:tbl>
    <w:p w:rsidR="00584EE0" w:rsidRDefault="00584EE0" w:rsidP="00584EE0"/>
    <w:p w:rsidR="00B831B3" w:rsidRDefault="00B831B3" w:rsidP="00B831B3">
      <w:pPr>
        <w:pStyle w:val="Caption"/>
        <w:keepNext/>
      </w:pPr>
      <w:r>
        <w:t xml:space="preserve">Figure </w:t>
      </w:r>
      <w:r w:rsidR="006902CB">
        <w:fldChar w:fldCharType="begin"/>
      </w:r>
      <w:r w:rsidR="006902CB">
        <w:instrText xml:space="preserve"> SEQ Figure \* ARABIC </w:instrText>
      </w:r>
      <w:r w:rsidR="006902CB">
        <w:fldChar w:fldCharType="separate"/>
      </w:r>
      <w:r>
        <w:rPr>
          <w:noProof/>
        </w:rPr>
        <w:t>12</w:t>
      </w:r>
      <w:r w:rsidR="006902CB">
        <w:rPr>
          <w:noProof/>
        </w:rPr>
        <w:fldChar w:fldCharType="end"/>
      </w:r>
      <w:r>
        <w:t xml:space="preserve">: Sales area growth </w:t>
      </w:r>
      <w:r w:rsidR="00C13A2F">
        <w:t>analysis</w:t>
      </w:r>
    </w:p>
    <w:p w:rsidR="0020680C" w:rsidRDefault="0020680C" w:rsidP="00E47598">
      <w:r>
        <w:rPr>
          <w:noProof/>
        </w:rPr>
        <w:drawing>
          <wp:inline distT="0" distB="0" distL="0" distR="0" wp14:anchorId="29466A2E" wp14:editId="0D643996">
            <wp:extent cx="5943600" cy="2812415"/>
            <wp:effectExtent l="0" t="0" r="0" b="698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266C" w:rsidRDefault="003F266C" w:rsidP="003F266C">
      <w:r>
        <w:tab/>
        <w:t xml:space="preserve">Tesco plc has highest sales area followed by J Sainsbury and WM Morrison. </w:t>
      </w:r>
      <w:r w:rsidR="007E618D">
        <w:t xml:space="preserve">It’s noticeable that WM Morrison has negative growth rate in sales area while J Sainsbury improved sales area year on year which is positive indicator. </w:t>
      </w:r>
      <w:r w:rsidR="008C1661">
        <w:t xml:space="preserve">While Tesco had already six times more sales are than other two players also increased sales are year on year significantly during 2010 to 2014. </w:t>
      </w:r>
      <w:r w:rsidR="001D1C01">
        <w:t xml:space="preserve">It seems Tesco is not effective in generating sales are into more productive use looking at financial KPIs while J Sainsbury is outperforming other two players. </w:t>
      </w:r>
    </w:p>
    <w:p w:rsidR="00E47598" w:rsidRDefault="00E37309" w:rsidP="00E37309">
      <w:pPr>
        <w:pStyle w:val="Heading2"/>
      </w:pPr>
      <w:bookmarkStart w:id="28" w:name="_Toc448019870"/>
      <w:bookmarkStart w:id="29" w:name="_Toc448030090"/>
      <w:r>
        <w:lastRenderedPageBreak/>
        <w:t>Part B</w:t>
      </w:r>
      <w:bookmarkEnd w:id="28"/>
      <w:bookmarkEnd w:id="29"/>
    </w:p>
    <w:p w:rsidR="00E37309" w:rsidRDefault="00D23F9A" w:rsidP="00E37309">
      <w:r>
        <w:tab/>
        <w:t xml:space="preserve">WM Morrison is worst performing companies amongst three. The major areas of improvement are current ratio, quick ratio, asset turnover, inventory turnover, operating margin, returns on assets and return on equity. </w:t>
      </w:r>
      <w:r w:rsidR="00642A0B">
        <w:t xml:space="preserve">The liquidity ratios of WM Morrison </w:t>
      </w:r>
      <w:r w:rsidR="00407748">
        <w:t>are</w:t>
      </w:r>
      <w:r w:rsidR="00642A0B">
        <w:t xml:space="preserve"> quite lower than other two firms and </w:t>
      </w:r>
      <w:r w:rsidR="00DB57E6">
        <w:t>especially</w:t>
      </w:r>
      <w:r w:rsidR="00642A0B">
        <w:t xml:space="preserve"> quick ratio is significantly lower on absolute term and relative term as </w:t>
      </w:r>
      <w:r w:rsidR="00576DF5">
        <w:t>well.</w:t>
      </w:r>
      <w:r w:rsidR="00642A0B">
        <w:t xml:space="preserve"> </w:t>
      </w:r>
      <w:r w:rsidR="00E51201">
        <w:t xml:space="preserve">So first area of improvement is to improve the quick ratio which will automatically improve the current ratio as well. </w:t>
      </w:r>
    </w:p>
    <w:p w:rsidR="0027043D" w:rsidRDefault="0027043D" w:rsidP="00E37309">
      <w:r>
        <w:tab/>
        <w:t xml:space="preserve">Second area of improvement is operating margin. Though the company maintained gross ratio higher than 6% in during 2010 to 2014, higher than J Sainsbury Plc throughout, suffered on operating margin in </w:t>
      </w:r>
      <w:r w:rsidR="00A00A5F">
        <w:t>2014</w:t>
      </w:r>
      <w:r>
        <w:t xml:space="preserve">. </w:t>
      </w:r>
      <w:r w:rsidR="00F45A24">
        <w:t xml:space="preserve">It directly indicates that the firm needs to cut down operation expenses in order to improve operating margin. </w:t>
      </w:r>
      <w:r w:rsidR="00993D26">
        <w:t>Impro</w:t>
      </w:r>
      <w:r w:rsidR="0052507F">
        <w:t xml:space="preserve">vement in operating margins will </w:t>
      </w:r>
      <w:r w:rsidR="00993D26">
        <w:t xml:space="preserve">help to improve returns on equity and returns on asset as well. </w:t>
      </w:r>
    </w:p>
    <w:p w:rsidR="000325E6" w:rsidRDefault="000325E6" w:rsidP="00E37309">
      <w:r>
        <w:tab/>
        <w:t xml:space="preserve">Finally, the company needs to work on efficiency as well. Asset turnover ratio and inventory turnover ratio is declining year on year for last five years and it’s the only area where firm is competitive to other firms. </w:t>
      </w:r>
      <w:r w:rsidR="00B352E4">
        <w:t xml:space="preserve">As it’s a core strength of the firm and turnover ratios are declining other areas are being affected such as revenue growth and net income. </w:t>
      </w:r>
    </w:p>
    <w:p w:rsidR="00CC553C" w:rsidRDefault="00CC553C" w:rsidP="00E37309"/>
    <w:p w:rsidR="00CC553C" w:rsidRDefault="00CC553C" w:rsidP="00E37309">
      <w:r>
        <w:t xml:space="preserve">Non-financial measures: </w:t>
      </w:r>
    </w:p>
    <w:p w:rsidR="00AF58F6" w:rsidRDefault="00AF58F6" w:rsidP="00E37309">
      <w:r>
        <w:tab/>
      </w:r>
      <w:r w:rsidR="0056423D">
        <w:t>Total sales are</w:t>
      </w:r>
      <w:r w:rsidR="00851ABC">
        <w:t>a</w:t>
      </w:r>
      <w:r w:rsidR="0056423D">
        <w:t xml:space="preserve"> of WM Morrison Plc is quite lower than J Sainsbury and Tesco Plc and it decreased </w:t>
      </w:r>
      <w:r w:rsidR="002F4A45">
        <w:t xml:space="preserve">by </w:t>
      </w:r>
      <w:r w:rsidR="0056423D">
        <w:t xml:space="preserve">16.6% in last five years. </w:t>
      </w:r>
      <w:r w:rsidR="00851ABC">
        <w:t>It’</w:t>
      </w:r>
      <w:r w:rsidR="007B0719">
        <w:t xml:space="preserve">s recommendable to increase the total number of stores and market area in order to boost the revenue and sales. </w:t>
      </w:r>
      <w:r w:rsidR="008F2CBF">
        <w:t xml:space="preserve">Also average employee per sales are square feet is much higher than other two players. Average employees per thousand square feet of WM Morrison is 8 against the average 2.1 and 3.6 employees per thousand square feet of Tesco Plc and J Sainsbury respectively. </w:t>
      </w:r>
      <w:r w:rsidR="004D206E">
        <w:t xml:space="preserve">So, the company must reduce the employee base and improve the coverage area per employee to be competitive with its industry peers. </w:t>
      </w:r>
    </w:p>
    <w:p w:rsidR="009B0335" w:rsidRDefault="009B0335" w:rsidP="00E37309">
      <w:r>
        <w:lastRenderedPageBreak/>
        <w:tab/>
        <w:t>So, here are major recommendations which are required to turnout the situation of WM Morrison</w:t>
      </w:r>
      <w:r w:rsidR="00B94AA6">
        <w:t xml:space="preserve"> </w:t>
      </w:r>
      <w:r w:rsidR="00B94AA6">
        <w:rPr>
          <w:rStyle w:val="selectable"/>
        </w:rPr>
        <w:t>("WM Morrison Supermarkets PLC, MRW:LSE financials - FT.com", 2016)</w:t>
      </w:r>
      <w:r>
        <w:t xml:space="preserve">. </w:t>
      </w:r>
    </w:p>
    <w:p w:rsidR="009B0335" w:rsidRDefault="009B0335" w:rsidP="009B0335">
      <w:pPr>
        <w:pStyle w:val="ListParagraph"/>
        <w:numPr>
          <w:ilvl w:val="0"/>
          <w:numId w:val="1"/>
        </w:numPr>
      </w:pPr>
      <w:r>
        <w:t>Financial KPI</w:t>
      </w:r>
    </w:p>
    <w:p w:rsidR="009B0335" w:rsidRDefault="009B0335" w:rsidP="009B0335">
      <w:pPr>
        <w:pStyle w:val="ListParagraph"/>
        <w:numPr>
          <w:ilvl w:val="1"/>
          <w:numId w:val="1"/>
        </w:numPr>
      </w:pPr>
      <w:r>
        <w:t>Improve liquidity (quick ratio)</w:t>
      </w:r>
    </w:p>
    <w:p w:rsidR="009B0335" w:rsidRDefault="009B0335" w:rsidP="009B0335">
      <w:pPr>
        <w:pStyle w:val="ListParagraph"/>
        <w:numPr>
          <w:ilvl w:val="1"/>
          <w:numId w:val="1"/>
        </w:numPr>
      </w:pPr>
      <w:r>
        <w:t xml:space="preserve">Control operational expense (to improve profitability) </w:t>
      </w:r>
    </w:p>
    <w:p w:rsidR="000D5EDF" w:rsidRDefault="000D5EDF" w:rsidP="009B0335">
      <w:pPr>
        <w:pStyle w:val="ListParagraph"/>
        <w:numPr>
          <w:ilvl w:val="1"/>
          <w:numId w:val="1"/>
        </w:numPr>
      </w:pPr>
      <w:r>
        <w:t xml:space="preserve">Increase turnover ratios (to improve efficiency and sales) </w:t>
      </w:r>
    </w:p>
    <w:p w:rsidR="000D5EDF" w:rsidRDefault="000D5EDF" w:rsidP="000D5EDF">
      <w:pPr>
        <w:pStyle w:val="ListParagraph"/>
        <w:numPr>
          <w:ilvl w:val="0"/>
          <w:numId w:val="1"/>
        </w:numPr>
      </w:pPr>
      <w:r>
        <w:t>Non-financial KPI</w:t>
      </w:r>
    </w:p>
    <w:p w:rsidR="000D5EDF" w:rsidRDefault="000D5EDF" w:rsidP="000D5EDF">
      <w:pPr>
        <w:pStyle w:val="ListParagraph"/>
        <w:numPr>
          <w:ilvl w:val="1"/>
          <w:numId w:val="1"/>
        </w:numPr>
      </w:pPr>
      <w:r>
        <w:t>Increase total sales area</w:t>
      </w:r>
    </w:p>
    <w:p w:rsidR="000D5EDF" w:rsidRDefault="000D5EDF" w:rsidP="000D5EDF">
      <w:pPr>
        <w:pStyle w:val="ListParagraph"/>
        <w:numPr>
          <w:ilvl w:val="1"/>
          <w:numId w:val="1"/>
        </w:numPr>
      </w:pPr>
      <w:r>
        <w:t xml:space="preserve">Improve </w:t>
      </w:r>
      <w:r w:rsidR="00391F68">
        <w:t xml:space="preserve">average sales area per employee (to bring </w:t>
      </w:r>
      <w:r w:rsidR="00610883">
        <w:t>down</w:t>
      </w:r>
      <w:r w:rsidR="00391F68">
        <w:t xml:space="preserve"> operational cost) </w:t>
      </w:r>
    </w:p>
    <w:p w:rsidR="00CC553C" w:rsidRDefault="00C77753" w:rsidP="00C77753">
      <w:pPr>
        <w:pStyle w:val="Heading2"/>
      </w:pPr>
      <w:bookmarkStart w:id="30" w:name="_Toc448019871"/>
      <w:bookmarkStart w:id="31" w:name="_Toc448030091"/>
      <w:r>
        <w:t>Part C</w:t>
      </w:r>
      <w:bookmarkEnd w:id="30"/>
      <w:bookmarkEnd w:id="31"/>
    </w:p>
    <w:p w:rsidR="00EC6181" w:rsidRDefault="00EC6181" w:rsidP="00EC6181">
      <w:r>
        <w:tab/>
        <w:t xml:space="preserve">Though financial ratios help to understand financial position of the company and to take investing decision but there are some drawbacks associated with it. Followings are limitations of financial ratio analysis. </w:t>
      </w:r>
    </w:p>
    <w:p w:rsidR="00EC6181" w:rsidRDefault="00EC6181" w:rsidP="00EC6181">
      <w:pPr>
        <w:pStyle w:val="ListParagraph"/>
        <w:numPr>
          <w:ilvl w:val="0"/>
          <w:numId w:val="3"/>
        </w:numPr>
      </w:pPr>
      <w:r>
        <w:t xml:space="preserve">As financial ratios deal with only numbers, it doesn’t address important aspect of business such as product quality, customer satisfaction, employees’ moral, brand image and relation with stack holders which may ultimately can drive the business. </w:t>
      </w:r>
    </w:p>
    <w:p w:rsidR="00EC6181" w:rsidRDefault="00EC6181" w:rsidP="00EC6181">
      <w:pPr>
        <w:pStyle w:val="ListParagraph"/>
        <w:numPr>
          <w:ilvl w:val="0"/>
          <w:numId w:val="3"/>
        </w:numPr>
      </w:pPr>
      <w:r>
        <w:t xml:space="preserve">Financial ratio deals with historical performance of the business. As past performance doesn’t guarantee about future performance it only provides basis for assumption to make future forecasts. </w:t>
      </w:r>
    </w:p>
    <w:p w:rsidR="00EC6181" w:rsidRDefault="00EC6181" w:rsidP="00EC6181">
      <w:pPr>
        <w:pStyle w:val="ListParagraph"/>
        <w:numPr>
          <w:ilvl w:val="0"/>
          <w:numId w:val="3"/>
        </w:numPr>
      </w:pPr>
      <w:r>
        <w:t xml:space="preserve">Financial ratios are useful only when comparing the similar companies in same industry of similar size. </w:t>
      </w:r>
      <w:r w:rsidR="00160DB2">
        <w:t xml:space="preserve">Comparing two companies of different industry will be irrelevant for ratio analysis. </w:t>
      </w:r>
    </w:p>
    <w:p w:rsidR="00160DB2" w:rsidRDefault="007A520C" w:rsidP="00EC6181">
      <w:pPr>
        <w:pStyle w:val="ListParagraph"/>
        <w:numPr>
          <w:ilvl w:val="0"/>
          <w:numId w:val="3"/>
        </w:numPr>
      </w:pPr>
      <w:r>
        <w:t xml:space="preserve">Many companies temper with performance intentionally to make ratio attractive for shareholders and other investors. </w:t>
      </w:r>
      <w:r w:rsidR="00792640">
        <w:t>For example, many business delay payments to creditors in order to show higher cash in the system which increase the account payable.</w:t>
      </w:r>
    </w:p>
    <w:p w:rsidR="00F15085" w:rsidRDefault="00F15085" w:rsidP="00F15085">
      <w:pPr>
        <w:pStyle w:val="Heading1"/>
      </w:pPr>
      <w:bookmarkStart w:id="32" w:name="_Toc448019872"/>
      <w:bookmarkStart w:id="33" w:name="_Toc448030092"/>
      <w:r>
        <w:lastRenderedPageBreak/>
        <w:t>Answer 2</w:t>
      </w:r>
      <w:bookmarkEnd w:id="32"/>
      <w:bookmarkEnd w:id="33"/>
    </w:p>
    <w:p w:rsidR="002579B7" w:rsidRPr="002579B7" w:rsidRDefault="002579B7" w:rsidP="002579B7"/>
    <w:p w:rsidR="00C27503" w:rsidRDefault="00C27503" w:rsidP="003D526D">
      <w:r>
        <w:tab/>
        <w:t xml:space="preserve">This report includes four sections which analyze the investment decision of the three-year contract proposal. First </w:t>
      </w:r>
      <w:r w:rsidR="00D53D2D">
        <w:t>section discusses about impact on income statement and cash flow statement and net present va</w:t>
      </w:r>
      <w:r w:rsidR="004236D0">
        <w:t xml:space="preserve">lue of undertaking the project. The second section includes tax approach, the third section includes investment appraisal method and the last section discuss about factors need to consider before </w:t>
      </w:r>
      <w:r w:rsidR="00A707B8">
        <w:t>final investing decision</w:t>
      </w:r>
      <w:r w:rsidR="004236D0">
        <w:t xml:space="preserve">. </w:t>
      </w:r>
    </w:p>
    <w:p w:rsidR="000A0417" w:rsidRDefault="000A0417" w:rsidP="003D526D"/>
    <w:p w:rsidR="007A2BD5" w:rsidRDefault="00702481" w:rsidP="00702481">
      <w:pPr>
        <w:pStyle w:val="Heading2"/>
      </w:pPr>
      <w:bookmarkStart w:id="34" w:name="_Toc448030093"/>
      <w:r>
        <w:t>Financial feasibility</w:t>
      </w:r>
      <w:bookmarkEnd w:id="34"/>
      <w:r>
        <w:t xml:space="preserve"> </w:t>
      </w:r>
    </w:p>
    <w:p w:rsidR="000A0417" w:rsidRDefault="000A0417" w:rsidP="003D526D">
      <w:r>
        <w:tab/>
      </w:r>
      <w:r w:rsidR="00A278F2">
        <w:t xml:space="preserve">The report prepared by production director missed some important consideration while calculating income tax implications. </w:t>
      </w:r>
      <w:r w:rsidR="00473E03">
        <w:t>As t</w:t>
      </w:r>
      <w:r w:rsidR="00473E03" w:rsidRPr="00473E03">
        <w:t>he machine will qualify for a 25% writing-down allowance on the reducing balance</w:t>
      </w:r>
      <w:r w:rsidR="00BB3BC5">
        <w:t xml:space="preserve">, pre-tax profit will reduce by only allowable capital allowance not depreciation. As capital allowance is lower than depreciation amount, tax liability is much higher than projected by production director. </w:t>
      </w:r>
      <w:r w:rsidR="00D949A1">
        <w:t xml:space="preserve">Below table shows after tax profit for next three years and total profit of three years would be $50,083 and hence return on capital investment would be </w:t>
      </w:r>
      <w:r w:rsidR="00DA310C">
        <w:t>33.4</w:t>
      </w:r>
      <w:r w:rsidR="00D949A1">
        <w:t xml:space="preserve">%, much lower than expected return of 40.2%. </w:t>
      </w:r>
    </w:p>
    <w:p w:rsidR="00CA6C6D" w:rsidRDefault="00CA6C6D" w:rsidP="00CA6C6D">
      <w:pPr>
        <w:pStyle w:val="Caption"/>
        <w:keepNext/>
      </w:pPr>
      <w:bookmarkStart w:id="35" w:name="_Toc448030132"/>
      <w:r>
        <w:t xml:space="preserve">Table </w:t>
      </w:r>
      <w:r w:rsidR="006902CB">
        <w:fldChar w:fldCharType="begin"/>
      </w:r>
      <w:r w:rsidR="006902CB">
        <w:instrText xml:space="preserve"> SEQ Table \* ARABIC </w:instrText>
      </w:r>
      <w:r w:rsidR="006902CB">
        <w:fldChar w:fldCharType="separate"/>
      </w:r>
      <w:r w:rsidR="00427680">
        <w:rPr>
          <w:noProof/>
        </w:rPr>
        <w:t>3</w:t>
      </w:r>
      <w:r w:rsidR="006902CB">
        <w:rPr>
          <w:noProof/>
        </w:rPr>
        <w:fldChar w:fldCharType="end"/>
      </w:r>
      <w:r>
        <w:t>: Income statement of JBZ</w:t>
      </w:r>
      <w:bookmarkEnd w:id="35"/>
    </w:p>
    <w:tbl>
      <w:tblPr>
        <w:tblW w:w="5000" w:type="pct"/>
        <w:tblLook w:val="04A0" w:firstRow="1" w:lastRow="0" w:firstColumn="1" w:lastColumn="0" w:noHBand="0" w:noVBand="1"/>
      </w:tblPr>
      <w:tblGrid>
        <w:gridCol w:w="4204"/>
        <w:gridCol w:w="1289"/>
        <w:gridCol w:w="1289"/>
        <w:gridCol w:w="1289"/>
        <w:gridCol w:w="1289"/>
      </w:tblGrid>
      <w:tr w:rsidR="003D526D" w:rsidRPr="003D526D" w:rsidTr="00CA6C6D">
        <w:trPr>
          <w:trHeight w:val="402"/>
        </w:trPr>
        <w:tc>
          <w:tcPr>
            <w:tcW w:w="2246" w:type="pct"/>
            <w:tcBorders>
              <w:top w:val="nil"/>
              <w:left w:val="nil"/>
              <w:bottom w:val="nil"/>
              <w:right w:val="nil"/>
            </w:tcBorders>
            <w:shd w:val="clear" w:color="auto" w:fill="auto"/>
            <w:noWrap/>
            <w:vAlign w:val="bottom"/>
            <w:hideMark/>
          </w:tcPr>
          <w:p w:rsidR="003D526D" w:rsidRPr="003D526D" w:rsidRDefault="003D526D" w:rsidP="003D526D">
            <w:pPr>
              <w:spacing w:line="240" w:lineRule="auto"/>
              <w:rPr>
                <w:rFonts w:ascii="Times New Roman" w:eastAsia="Times New Roman" w:hAnsi="Times New Roman" w:cs="Times New Roman"/>
                <w:sz w:val="20"/>
                <w:szCs w:val="24"/>
              </w:rPr>
            </w:pP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 xml:space="preserve">Year 1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 xml:space="preserve">Year 2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 xml:space="preserve">Year 3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Total</w:t>
            </w:r>
          </w:p>
        </w:tc>
      </w:tr>
      <w:tr w:rsidR="003D526D" w:rsidRPr="003D526D" w:rsidTr="00CA6C6D">
        <w:trPr>
          <w:trHeight w:val="402"/>
        </w:trPr>
        <w:tc>
          <w:tcPr>
            <w:tcW w:w="2246"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color w:val="000000"/>
              </w:rPr>
            </w:pPr>
            <w:r w:rsidRPr="003D526D">
              <w:rPr>
                <w:rFonts w:ascii="Calibri" w:eastAsia="Times New Roman" w:hAnsi="Calibri" w:cs="Times New Roman"/>
                <w:color w:val="000000"/>
              </w:rPr>
              <w:t> </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 xml:space="preserve">(£) </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 xml:space="preserve">(£) </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center"/>
              <w:rPr>
                <w:rFonts w:ascii="Calibri" w:eastAsia="Times New Roman" w:hAnsi="Calibri" w:cs="Times New Roman"/>
                <w:color w:val="000000"/>
              </w:rPr>
            </w:pPr>
            <w:r w:rsidRPr="003D526D">
              <w:rPr>
                <w:rFonts w:ascii="Calibri" w:eastAsia="Times New Roman" w:hAnsi="Calibri" w:cs="Times New Roman"/>
                <w:color w:val="000000"/>
              </w:rPr>
              <w:t xml:space="preserve">(£) </w:t>
            </w:r>
          </w:p>
        </w:tc>
      </w:tr>
      <w:tr w:rsidR="003D526D" w:rsidRPr="003D526D" w:rsidTr="00CA6C6D">
        <w:trPr>
          <w:trHeight w:val="402"/>
        </w:trPr>
        <w:tc>
          <w:tcPr>
            <w:tcW w:w="2246" w:type="pct"/>
            <w:tcBorders>
              <w:top w:val="nil"/>
              <w:left w:val="nil"/>
              <w:bottom w:val="nil"/>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b/>
                <w:bCs/>
                <w:color w:val="44546A"/>
              </w:rPr>
            </w:pPr>
            <w:r w:rsidRPr="003D526D">
              <w:rPr>
                <w:rFonts w:ascii="Calibri" w:eastAsia="Times New Roman" w:hAnsi="Calibri" w:cs="Times New Roman"/>
                <w:b/>
                <w:bCs/>
                <w:color w:val="44546A"/>
              </w:rPr>
              <w:t xml:space="preserve">Turnover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180,000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180,000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180,000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540,000 </w:t>
            </w:r>
          </w:p>
        </w:tc>
      </w:tr>
      <w:tr w:rsidR="003D526D" w:rsidRPr="003D526D" w:rsidTr="00CA6C6D">
        <w:trPr>
          <w:trHeight w:val="402"/>
        </w:trPr>
        <w:tc>
          <w:tcPr>
            <w:tcW w:w="2246" w:type="pct"/>
            <w:tcBorders>
              <w:top w:val="nil"/>
              <w:left w:val="nil"/>
              <w:bottom w:val="nil"/>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b/>
                <w:bCs/>
                <w:color w:val="44546A"/>
              </w:rPr>
            </w:pPr>
            <w:r w:rsidRPr="003D526D">
              <w:rPr>
                <w:rFonts w:ascii="Calibri" w:eastAsia="Times New Roman" w:hAnsi="Calibri" w:cs="Times New Roman"/>
                <w:b/>
                <w:bCs/>
                <w:color w:val="44546A"/>
              </w:rPr>
              <w:t xml:space="preserve">Materials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60,000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63,000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66,150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189,150 </w:t>
            </w:r>
          </w:p>
        </w:tc>
      </w:tr>
      <w:tr w:rsidR="003D526D" w:rsidRPr="003D526D" w:rsidTr="00CA6C6D">
        <w:trPr>
          <w:trHeight w:val="402"/>
        </w:trPr>
        <w:tc>
          <w:tcPr>
            <w:tcW w:w="2246" w:type="pct"/>
            <w:tcBorders>
              <w:top w:val="nil"/>
              <w:left w:val="nil"/>
              <w:bottom w:val="nil"/>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b/>
                <w:bCs/>
                <w:color w:val="44546A"/>
              </w:rPr>
            </w:pPr>
            <w:r w:rsidRPr="003D526D">
              <w:rPr>
                <w:rFonts w:ascii="Calibri" w:eastAsia="Times New Roman" w:hAnsi="Calibri" w:cs="Times New Roman"/>
                <w:b/>
                <w:bCs/>
                <w:color w:val="44546A"/>
              </w:rPr>
              <w:t xml:space="preserve">Labour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40,000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42,000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44,100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126,100 </w:t>
            </w:r>
          </w:p>
        </w:tc>
      </w:tr>
      <w:tr w:rsidR="003D526D" w:rsidRPr="003D526D" w:rsidTr="00CA6C6D">
        <w:trPr>
          <w:trHeight w:val="402"/>
        </w:trPr>
        <w:tc>
          <w:tcPr>
            <w:tcW w:w="2246" w:type="pct"/>
            <w:tcBorders>
              <w:top w:val="nil"/>
              <w:left w:val="nil"/>
              <w:bottom w:val="nil"/>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b/>
                <w:bCs/>
                <w:color w:val="44546A"/>
              </w:rPr>
            </w:pPr>
            <w:r w:rsidRPr="003D526D">
              <w:rPr>
                <w:rFonts w:ascii="Calibri" w:eastAsia="Times New Roman" w:hAnsi="Calibri" w:cs="Times New Roman"/>
                <w:b/>
                <w:bCs/>
                <w:color w:val="44546A"/>
              </w:rPr>
              <w:t>Depreciation</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50,000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50,000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50,000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150,000 </w:t>
            </w:r>
          </w:p>
        </w:tc>
      </w:tr>
      <w:tr w:rsidR="003D526D" w:rsidRPr="003D526D" w:rsidTr="00CA6C6D">
        <w:trPr>
          <w:trHeight w:val="402"/>
        </w:trPr>
        <w:tc>
          <w:tcPr>
            <w:tcW w:w="2246" w:type="pct"/>
            <w:tcBorders>
              <w:top w:val="nil"/>
              <w:left w:val="nil"/>
              <w:bottom w:val="nil"/>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b/>
                <w:bCs/>
                <w:color w:val="44546A"/>
              </w:rPr>
            </w:pPr>
            <w:r w:rsidRPr="003D526D">
              <w:rPr>
                <w:rFonts w:ascii="Calibri" w:eastAsia="Times New Roman" w:hAnsi="Calibri" w:cs="Times New Roman"/>
                <w:b/>
                <w:bCs/>
                <w:color w:val="44546A"/>
              </w:rPr>
              <w:t xml:space="preserve">Pre-tax profit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30,000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25,000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19,750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74,750 </w:t>
            </w:r>
          </w:p>
        </w:tc>
      </w:tr>
      <w:tr w:rsidR="003D526D" w:rsidRPr="003D526D" w:rsidTr="00CA6C6D">
        <w:trPr>
          <w:trHeight w:val="402"/>
        </w:trPr>
        <w:tc>
          <w:tcPr>
            <w:tcW w:w="2246"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b/>
                <w:bCs/>
                <w:color w:val="44546A"/>
              </w:rPr>
            </w:pPr>
            <w:r w:rsidRPr="003D526D">
              <w:rPr>
                <w:rFonts w:ascii="Calibri" w:eastAsia="Times New Roman" w:hAnsi="Calibri" w:cs="Times New Roman"/>
                <w:b/>
                <w:bCs/>
                <w:color w:val="44546A"/>
              </w:rPr>
              <w:t xml:space="preserve">Corporation tax at 33% </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14,025 </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15,469 </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4,826 </w:t>
            </w:r>
          </w:p>
        </w:tc>
        <w:tc>
          <w:tcPr>
            <w:tcW w:w="689" w:type="pct"/>
            <w:tcBorders>
              <w:top w:val="nil"/>
              <w:left w:val="nil"/>
              <w:bottom w:val="single" w:sz="8" w:space="0" w:color="auto"/>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24,668 </w:t>
            </w:r>
          </w:p>
        </w:tc>
      </w:tr>
      <w:tr w:rsidR="003D526D" w:rsidRPr="003D526D" w:rsidTr="00CA6C6D">
        <w:trPr>
          <w:trHeight w:val="402"/>
        </w:trPr>
        <w:tc>
          <w:tcPr>
            <w:tcW w:w="2246" w:type="pct"/>
            <w:tcBorders>
              <w:top w:val="nil"/>
              <w:left w:val="nil"/>
              <w:bottom w:val="nil"/>
              <w:right w:val="nil"/>
            </w:tcBorders>
            <w:shd w:val="clear" w:color="auto" w:fill="auto"/>
            <w:noWrap/>
            <w:vAlign w:val="bottom"/>
            <w:hideMark/>
          </w:tcPr>
          <w:p w:rsidR="003D526D" w:rsidRPr="003D526D" w:rsidRDefault="003D526D" w:rsidP="003D526D">
            <w:pPr>
              <w:spacing w:line="240" w:lineRule="auto"/>
              <w:rPr>
                <w:rFonts w:ascii="Calibri" w:eastAsia="Times New Roman" w:hAnsi="Calibri" w:cs="Times New Roman"/>
                <w:b/>
                <w:bCs/>
                <w:color w:val="44546A"/>
              </w:rPr>
            </w:pPr>
            <w:r w:rsidRPr="003D526D">
              <w:rPr>
                <w:rFonts w:ascii="Calibri" w:eastAsia="Times New Roman" w:hAnsi="Calibri" w:cs="Times New Roman"/>
                <w:b/>
                <w:bCs/>
                <w:color w:val="44546A"/>
              </w:rPr>
              <w:t xml:space="preserve">After-tax profit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15,975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9,531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24,576 </w:t>
            </w:r>
          </w:p>
        </w:tc>
        <w:tc>
          <w:tcPr>
            <w:tcW w:w="689" w:type="pct"/>
            <w:tcBorders>
              <w:top w:val="nil"/>
              <w:left w:val="nil"/>
              <w:bottom w:val="nil"/>
              <w:right w:val="nil"/>
            </w:tcBorders>
            <w:shd w:val="clear" w:color="auto" w:fill="auto"/>
            <w:noWrap/>
            <w:vAlign w:val="bottom"/>
            <w:hideMark/>
          </w:tcPr>
          <w:p w:rsidR="003D526D" w:rsidRPr="003D526D" w:rsidRDefault="003D526D" w:rsidP="003D526D">
            <w:pPr>
              <w:spacing w:line="240" w:lineRule="auto"/>
              <w:jc w:val="right"/>
              <w:rPr>
                <w:rFonts w:ascii="Calibri" w:eastAsia="Times New Roman" w:hAnsi="Calibri" w:cs="Times New Roman"/>
                <w:color w:val="000000"/>
              </w:rPr>
            </w:pPr>
            <w:r w:rsidRPr="003D526D">
              <w:rPr>
                <w:rFonts w:ascii="Calibri" w:eastAsia="Times New Roman" w:hAnsi="Calibri" w:cs="Times New Roman"/>
                <w:color w:val="000000"/>
              </w:rPr>
              <w:t xml:space="preserve"> £      50,083 </w:t>
            </w:r>
          </w:p>
        </w:tc>
      </w:tr>
    </w:tbl>
    <w:p w:rsidR="00F15085" w:rsidRDefault="00F15085" w:rsidP="00F15085"/>
    <w:p w:rsidR="005E4075" w:rsidRDefault="005E4075" w:rsidP="00F15085"/>
    <w:p w:rsidR="005E4075" w:rsidRDefault="005E4075" w:rsidP="00F15085"/>
    <w:p w:rsidR="005E4075" w:rsidRDefault="005E4075" w:rsidP="00F15085"/>
    <w:p w:rsidR="001B0818" w:rsidRDefault="001B0818" w:rsidP="00F15085">
      <w:r>
        <w:tab/>
        <w:t xml:space="preserve">As tax liability is delayed by one year, applicable tax of third year would be paid in fourth year. As capital allowance can be claimed as balancing allowances in third year, taxable income </w:t>
      </w:r>
      <w:r w:rsidR="00E412D3">
        <w:t>turns</w:t>
      </w:r>
      <w:r>
        <w:t xml:space="preserve"> negative</w:t>
      </w:r>
      <w:r w:rsidR="00DA1CA1">
        <w:t xml:space="preserve"> </w:t>
      </w:r>
      <w:r w:rsidR="00DA1CA1">
        <w:rPr>
          <w:rStyle w:val="selectable"/>
        </w:rPr>
        <w:t>("Examples of Capital Allowance Tax Calculations - Brookson Ltd", 2016)</w:t>
      </w:r>
      <w:r>
        <w:t xml:space="preserve">. So, the company can adjust the loss against the profit in coming years. </w:t>
      </w:r>
      <w:r w:rsidR="00F2484F">
        <w:t xml:space="preserve">We would include the possible gain from loss in third year tax liability in fourth year. </w:t>
      </w:r>
      <w:r w:rsidR="00D56005">
        <w:t xml:space="preserve">As shown in below table cash flow is positive for all four years and it seems company is able to recover investment of </w:t>
      </w:r>
      <w:r w:rsidR="00D56005">
        <w:rPr>
          <w:rFonts w:cs="Arial"/>
        </w:rPr>
        <w:t>£</w:t>
      </w:r>
      <w:r w:rsidR="00D56005">
        <w:t xml:space="preserve">150,000 in three years itself. </w:t>
      </w:r>
      <w:r w:rsidR="00E05BC4">
        <w:t xml:space="preserve">But considering 18% cost of capital, present value of future cash flow is </w:t>
      </w:r>
      <w:r w:rsidR="00E05BC4">
        <w:rPr>
          <w:rFonts w:cs="Arial"/>
        </w:rPr>
        <w:t>£</w:t>
      </w:r>
      <w:r w:rsidR="00E05BC4">
        <w:t xml:space="preserve">147,114 which is lower than investment of </w:t>
      </w:r>
      <w:r w:rsidR="00E05BC4">
        <w:rPr>
          <w:rFonts w:cs="Arial"/>
        </w:rPr>
        <w:t>£</w:t>
      </w:r>
      <w:r w:rsidR="00E05BC4">
        <w:t>150,000. Hence, net present value of the proposal is -</w:t>
      </w:r>
      <w:r w:rsidR="00E05BC4">
        <w:rPr>
          <w:rFonts w:cs="Arial"/>
        </w:rPr>
        <w:t>£</w:t>
      </w:r>
      <w:r w:rsidR="00E05BC4">
        <w:t xml:space="preserve">2,886. It means project is financially not feasible for investment. </w:t>
      </w:r>
    </w:p>
    <w:p w:rsidR="00E05BC4" w:rsidRDefault="00E05BC4" w:rsidP="00F15085"/>
    <w:p w:rsidR="00EC356B" w:rsidRDefault="00EC356B" w:rsidP="00EC356B">
      <w:pPr>
        <w:pStyle w:val="Caption"/>
        <w:keepNext/>
      </w:pPr>
      <w:bookmarkStart w:id="36" w:name="_Toc448030133"/>
      <w:r>
        <w:t xml:space="preserve">Table </w:t>
      </w:r>
      <w:r w:rsidR="006902CB">
        <w:fldChar w:fldCharType="begin"/>
      </w:r>
      <w:r w:rsidR="006902CB">
        <w:instrText xml:space="preserve"> SEQ Table \* ARABIC </w:instrText>
      </w:r>
      <w:r w:rsidR="006902CB">
        <w:fldChar w:fldCharType="separate"/>
      </w:r>
      <w:r w:rsidR="00427680">
        <w:rPr>
          <w:noProof/>
        </w:rPr>
        <w:t>4</w:t>
      </w:r>
      <w:r w:rsidR="006902CB">
        <w:rPr>
          <w:noProof/>
        </w:rPr>
        <w:fldChar w:fldCharType="end"/>
      </w:r>
      <w:r>
        <w:t>: Cash flow statement of JBZ</w:t>
      </w:r>
      <w:bookmarkEnd w:id="36"/>
    </w:p>
    <w:tbl>
      <w:tblPr>
        <w:tblW w:w="5000" w:type="pct"/>
        <w:tblLook w:val="04A0" w:firstRow="1" w:lastRow="0" w:firstColumn="1" w:lastColumn="0" w:noHBand="0" w:noVBand="1"/>
      </w:tblPr>
      <w:tblGrid>
        <w:gridCol w:w="4436"/>
        <w:gridCol w:w="1301"/>
        <w:gridCol w:w="1301"/>
        <w:gridCol w:w="1161"/>
        <w:gridCol w:w="1161"/>
      </w:tblGrid>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Times New Roman" w:eastAsia="Times New Roman" w:hAnsi="Times New Roman" w:cs="Times New Roman"/>
                <w:sz w:val="20"/>
                <w:szCs w:val="24"/>
              </w:rPr>
            </w:pP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 xml:space="preserve">Year 1 </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 xml:space="preserve">Year 2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 xml:space="preserve">Year 3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Year 4</w:t>
            </w:r>
          </w:p>
        </w:tc>
      </w:tr>
      <w:tr w:rsidR="00EC356B" w:rsidRPr="00EC356B" w:rsidTr="00EC356B">
        <w:trPr>
          <w:trHeight w:val="402"/>
        </w:trPr>
        <w:tc>
          <w:tcPr>
            <w:tcW w:w="2370" w:type="pct"/>
            <w:tcBorders>
              <w:top w:val="nil"/>
              <w:left w:val="nil"/>
              <w:bottom w:val="single" w:sz="8" w:space="0" w:color="auto"/>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w:t>
            </w:r>
          </w:p>
        </w:tc>
        <w:tc>
          <w:tcPr>
            <w:tcW w:w="695" w:type="pct"/>
            <w:tcBorders>
              <w:top w:val="nil"/>
              <w:left w:val="nil"/>
              <w:bottom w:val="single" w:sz="8" w:space="0" w:color="auto"/>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 xml:space="preserve">(£) </w:t>
            </w:r>
          </w:p>
        </w:tc>
        <w:tc>
          <w:tcPr>
            <w:tcW w:w="695" w:type="pct"/>
            <w:tcBorders>
              <w:top w:val="nil"/>
              <w:left w:val="nil"/>
              <w:bottom w:val="single" w:sz="8" w:space="0" w:color="auto"/>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 xml:space="preserve">(£) </w:t>
            </w:r>
          </w:p>
        </w:tc>
        <w:tc>
          <w:tcPr>
            <w:tcW w:w="620" w:type="pct"/>
            <w:tcBorders>
              <w:top w:val="nil"/>
              <w:left w:val="nil"/>
              <w:bottom w:val="single" w:sz="8" w:space="0" w:color="auto"/>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w:t>
            </w:r>
          </w:p>
        </w:tc>
        <w:tc>
          <w:tcPr>
            <w:tcW w:w="620" w:type="pct"/>
            <w:tcBorders>
              <w:top w:val="nil"/>
              <w:left w:val="nil"/>
              <w:bottom w:val="single" w:sz="8" w:space="0" w:color="auto"/>
              <w:right w:val="nil"/>
            </w:tcBorders>
            <w:shd w:val="clear" w:color="auto" w:fill="auto"/>
            <w:noWrap/>
            <w:vAlign w:val="bottom"/>
            <w:hideMark/>
          </w:tcPr>
          <w:p w:rsidR="00EC356B" w:rsidRPr="00EC356B" w:rsidRDefault="00EC356B" w:rsidP="00EC356B">
            <w:pPr>
              <w:spacing w:line="240" w:lineRule="auto"/>
              <w:jc w:val="center"/>
              <w:rPr>
                <w:rFonts w:ascii="Calibri" w:eastAsia="Times New Roman" w:hAnsi="Calibri" w:cs="Times New Roman"/>
                <w:b/>
                <w:bCs/>
                <w:color w:val="44546A"/>
              </w:rPr>
            </w:pPr>
            <w:r w:rsidRPr="00EC356B">
              <w:rPr>
                <w:rFonts w:ascii="Calibri" w:eastAsia="Times New Roman" w:hAnsi="Calibri" w:cs="Times New Roman"/>
                <w:b/>
                <w:bCs/>
                <w:color w:val="44546A"/>
              </w:rPr>
              <w:t xml:space="preserve">(£) </w:t>
            </w: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Pre-tax profit</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30,000 </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25,000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19,750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Less: Corporation tax</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14,025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15,469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4,826 </w:t>
            </w: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Add: Depreciation</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50,000 </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50,000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50,000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p>
        </w:tc>
      </w:tr>
      <w:tr w:rsidR="00EC356B" w:rsidRPr="00EC356B" w:rsidTr="00EC356B">
        <w:trPr>
          <w:trHeight w:val="402"/>
        </w:trPr>
        <w:tc>
          <w:tcPr>
            <w:tcW w:w="2370" w:type="pct"/>
            <w:tcBorders>
              <w:top w:val="single" w:sz="4" w:space="0" w:color="auto"/>
              <w:left w:val="nil"/>
              <w:bottom w:val="double" w:sz="6" w:space="0" w:color="auto"/>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Cash flow</w:t>
            </w:r>
          </w:p>
        </w:tc>
        <w:tc>
          <w:tcPr>
            <w:tcW w:w="695" w:type="pct"/>
            <w:tcBorders>
              <w:top w:val="single" w:sz="4" w:space="0" w:color="auto"/>
              <w:left w:val="nil"/>
              <w:bottom w:val="double" w:sz="6" w:space="0" w:color="auto"/>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80,000 </w:t>
            </w:r>
          </w:p>
        </w:tc>
        <w:tc>
          <w:tcPr>
            <w:tcW w:w="695" w:type="pct"/>
            <w:tcBorders>
              <w:top w:val="single" w:sz="4" w:space="0" w:color="auto"/>
              <w:left w:val="nil"/>
              <w:bottom w:val="double" w:sz="6" w:space="0" w:color="auto"/>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60,975 </w:t>
            </w:r>
          </w:p>
        </w:tc>
        <w:tc>
          <w:tcPr>
            <w:tcW w:w="620" w:type="pct"/>
            <w:tcBorders>
              <w:top w:val="single" w:sz="4" w:space="0" w:color="auto"/>
              <w:left w:val="nil"/>
              <w:bottom w:val="double" w:sz="6" w:space="0" w:color="auto"/>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54,281 </w:t>
            </w:r>
          </w:p>
        </w:tc>
        <w:tc>
          <w:tcPr>
            <w:tcW w:w="620" w:type="pct"/>
            <w:tcBorders>
              <w:top w:val="single" w:sz="4" w:space="0" w:color="auto"/>
              <w:left w:val="nil"/>
              <w:bottom w:val="double" w:sz="6" w:space="0" w:color="auto"/>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4,826 </w:t>
            </w: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Discount factor 18%</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right"/>
              <w:rPr>
                <w:rFonts w:ascii="Calibri" w:eastAsia="Times New Roman" w:hAnsi="Calibri" w:cs="Times New Roman"/>
                <w:color w:val="000000"/>
              </w:rPr>
            </w:pPr>
            <w:r w:rsidRPr="00EC356B">
              <w:rPr>
                <w:rFonts w:ascii="Calibri" w:eastAsia="Times New Roman" w:hAnsi="Calibri" w:cs="Times New Roman"/>
                <w:color w:val="000000"/>
              </w:rPr>
              <w:t>0.847</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right"/>
              <w:rPr>
                <w:rFonts w:ascii="Calibri" w:eastAsia="Times New Roman" w:hAnsi="Calibri" w:cs="Times New Roman"/>
                <w:color w:val="000000"/>
              </w:rPr>
            </w:pPr>
            <w:r w:rsidRPr="00EC356B">
              <w:rPr>
                <w:rFonts w:ascii="Calibri" w:eastAsia="Times New Roman" w:hAnsi="Calibri" w:cs="Times New Roman"/>
                <w:color w:val="000000"/>
              </w:rPr>
              <w:t>0.72</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right"/>
              <w:rPr>
                <w:rFonts w:ascii="Calibri" w:eastAsia="Times New Roman" w:hAnsi="Calibri" w:cs="Times New Roman"/>
                <w:color w:val="000000"/>
              </w:rPr>
            </w:pPr>
            <w:r w:rsidRPr="00EC356B">
              <w:rPr>
                <w:rFonts w:ascii="Calibri" w:eastAsia="Times New Roman" w:hAnsi="Calibri" w:cs="Times New Roman"/>
                <w:color w:val="000000"/>
              </w:rPr>
              <w:t>0.61</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jc w:val="right"/>
              <w:rPr>
                <w:rFonts w:ascii="Calibri" w:eastAsia="Times New Roman" w:hAnsi="Calibri" w:cs="Times New Roman"/>
                <w:color w:val="000000"/>
              </w:rPr>
            </w:pPr>
            <w:r w:rsidRPr="00EC356B">
              <w:rPr>
                <w:rFonts w:ascii="Calibri" w:eastAsia="Times New Roman" w:hAnsi="Calibri" w:cs="Times New Roman"/>
                <w:color w:val="000000"/>
              </w:rPr>
              <w:t>0.52</w:t>
            </w: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Discounted cash flow</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67,797 </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43,791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33,037 </w:t>
            </w: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2,489 </w:t>
            </w: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PV of Cash flow</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147,114 </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Times New Roman" w:eastAsia="Times New Roman" w:hAnsi="Times New Roman" w:cs="Times New Roman"/>
                <w:sz w:val="20"/>
                <w:szCs w:val="20"/>
              </w:rPr>
            </w:pP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Times New Roman" w:eastAsia="Times New Roman" w:hAnsi="Times New Roman" w:cs="Times New Roman"/>
                <w:sz w:val="20"/>
                <w:szCs w:val="20"/>
              </w:rPr>
            </w:pP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Investment</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   150,000 </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Times New Roman" w:eastAsia="Times New Roman" w:hAnsi="Times New Roman" w:cs="Times New Roman"/>
                <w:sz w:val="20"/>
                <w:szCs w:val="20"/>
              </w:rPr>
            </w:pP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Times New Roman" w:eastAsia="Times New Roman" w:hAnsi="Times New Roman" w:cs="Times New Roman"/>
                <w:sz w:val="20"/>
                <w:szCs w:val="20"/>
              </w:rPr>
            </w:pPr>
          </w:p>
        </w:tc>
      </w:tr>
      <w:tr w:rsidR="00EC356B" w:rsidRPr="00EC356B" w:rsidTr="00EC356B">
        <w:trPr>
          <w:trHeight w:val="402"/>
        </w:trPr>
        <w:tc>
          <w:tcPr>
            <w:tcW w:w="237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b/>
                <w:bCs/>
                <w:color w:val="44546A"/>
              </w:rPr>
            </w:pPr>
            <w:r w:rsidRPr="00EC356B">
              <w:rPr>
                <w:rFonts w:ascii="Calibri" w:eastAsia="Times New Roman" w:hAnsi="Calibri" w:cs="Times New Roman"/>
                <w:b/>
                <w:bCs/>
                <w:color w:val="44546A"/>
              </w:rPr>
              <w:t>NPV</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r w:rsidRPr="00EC356B">
              <w:rPr>
                <w:rFonts w:ascii="Calibri" w:eastAsia="Times New Roman" w:hAnsi="Calibri" w:cs="Times New Roman"/>
                <w:color w:val="000000"/>
              </w:rPr>
              <w:t xml:space="preserve">-£       2,886 </w:t>
            </w:r>
          </w:p>
        </w:tc>
        <w:tc>
          <w:tcPr>
            <w:tcW w:w="695"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Calibri" w:eastAsia="Times New Roman" w:hAnsi="Calibri" w:cs="Times New Roman"/>
                <w:color w:val="000000"/>
              </w:rPr>
            </w:pP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Times New Roman" w:eastAsia="Times New Roman" w:hAnsi="Times New Roman" w:cs="Times New Roman"/>
                <w:sz w:val="20"/>
                <w:szCs w:val="20"/>
              </w:rPr>
            </w:pPr>
          </w:p>
        </w:tc>
        <w:tc>
          <w:tcPr>
            <w:tcW w:w="620" w:type="pct"/>
            <w:tcBorders>
              <w:top w:val="nil"/>
              <w:left w:val="nil"/>
              <w:bottom w:val="nil"/>
              <w:right w:val="nil"/>
            </w:tcBorders>
            <w:shd w:val="clear" w:color="auto" w:fill="auto"/>
            <w:noWrap/>
            <w:vAlign w:val="bottom"/>
            <w:hideMark/>
          </w:tcPr>
          <w:p w:rsidR="00EC356B" w:rsidRPr="00EC356B" w:rsidRDefault="00EC356B" w:rsidP="00EC356B">
            <w:pPr>
              <w:spacing w:line="240" w:lineRule="auto"/>
              <w:rPr>
                <w:rFonts w:ascii="Times New Roman" w:eastAsia="Times New Roman" w:hAnsi="Times New Roman" w:cs="Times New Roman"/>
                <w:sz w:val="20"/>
                <w:szCs w:val="20"/>
              </w:rPr>
            </w:pPr>
          </w:p>
        </w:tc>
      </w:tr>
    </w:tbl>
    <w:p w:rsidR="002573BD" w:rsidRDefault="002573BD" w:rsidP="00F15085"/>
    <w:p w:rsidR="00604570" w:rsidRDefault="00604570" w:rsidP="00F15085"/>
    <w:p w:rsidR="00604570" w:rsidRDefault="00604570" w:rsidP="00F15085"/>
    <w:p w:rsidR="00604570" w:rsidRDefault="00604570" w:rsidP="00F15085"/>
    <w:p w:rsidR="00604570" w:rsidRDefault="00604570" w:rsidP="00604570">
      <w:pPr>
        <w:pStyle w:val="Heading2"/>
      </w:pPr>
      <w:bookmarkStart w:id="37" w:name="_Toc448030094"/>
      <w:r>
        <w:lastRenderedPageBreak/>
        <w:t>Taxation approach</w:t>
      </w:r>
      <w:bookmarkEnd w:id="37"/>
    </w:p>
    <w:p w:rsidR="00604570" w:rsidRDefault="003B5DC1" w:rsidP="00604570">
      <w:r>
        <w:tab/>
        <w:t>Though depreciation is charged on straight line method for three years, capital allowances is 25% on reducing balance</w:t>
      </w:r>
      <w:r w:rsidR="001D5142">
        <w:t xml:space="preserve"> </w:t>
      </w:r>
      <w:r w:rsidR="001D5142">
        <w:rPr>
          <w:rStyle w:val="selectable"/>
        </w:rPr>
        <w:t>("Claim capital allowances - GOV.UK", 2016)</w:t>
      </w:r>
      <w:r>
        <w:t xml:space="preserve">. </w:t>
      </w:r>
      <w:r w:rsidR="00160A0D">
        <w:t xml:space="preserve">Table 5 shows capital allowance for next three years and Table 6 shows profits chargeable to corporation tax and tax liability in each of the year. </w:t>
      </w:r>
      <w:r w:rsidR="004E4621">
        <w:t xml:space="preserve">Table 6 clearly shows tax liability is much higher than projected which in fact affects profitability and cash flow of the system significantly. </w:t>
      </w:r>
      <w:r w:rsidR="008B74D5">
        <w:t>Writing down of balance allowance in third year turns profits chartable to</w:t>
      </w:r>
      <w:r w:rsidR="001E514A">
        <w:t xml:space="preserve"> corporation tax into negative and it indirectly saves future tax liability worth of </w:t>
      </w:r>
      <w:r w:rsidR="001E514A">
        <w:rPr>
          <w:rFonts w:cs="Arial"/>
        </w:rPr>
        <w:t>£</w:t>
      </w:r>
      <w:r w:rsidR="001E514A">
        <w:t xml:space="preserve">4,826. </w:t>
      </w:r>
    </w:p>
    <w:p w:rsidR="0033428B" w:rsidRDefault="0033428B" w:rsidP="00604570"/>
    <w:p w:rsidR="00604570" w:rsidRDefault="00604570" w:rsidP="00604570">
      <w:pPr>
        <w:pStyle w:val="Caption"/>
        <w:keepNext/>
      </w:pPr>
      <w:bookmarkStart w:id="38" w:name="_Toc448030134"/>
      <w:r>
        <w:t xml:space="preserve">Table </w:t>
      </w:r>
      <w:r w:rsidR="006902CB">
        <w:fldChar w:fldCharType="begin"/>
      </w:r>
      <w:r w:rsidR="006902CB">
        <w:instrText xml:space="preserve"> SEQ Table \* ARABIC </w:instrText>
      </w:r>
      <w:r w:rsidR="006902CB">
        <w:fldChar w:fldCharType="separate"/>
      </w:r>
      <w:r w:rsidR="00427680">
        <w:rPr>
          <w:noProof/>
        </w:rPr>
        <w:t>5</w:t>
      </w:r>
      <w:r w:rsidR="006902CB">
        <w:rPr>
          <w:noProof/>
        </w:rPr>
        <w:fldChar w:fldCharType="end"/>
      </w:r>
      <w:r>
        <w:t>: Capital allowances computation</w:t>
      </w:r>
      <w:bookmarkEnd w:id="38"/>
    </w:p>
    <w:tbl>
      <w:tblPr>
        <w:tblW w:w="5000" w:type="pct"/>
        <w:tblLook w:val="04A0" w:firstRow="1" w:lastRow="0" w:firstColumn="1" w:lastColumn="0" w:noHBand="0" w:noVBand="1"/>
      </w:tblPr>
      <w:tblGrid>
        <w:gridCol w:w="4980"/>
        <w:gridCol w:w="1460"/>
        <w:gridCol w:w="1460"/>
        <w:gridCol w:w="1460"/>
      </w:tblGrid>
      <w:tr w:rsidR="00604570" w:rsidRPr="00604570" w:rsidTr="00604570">
        <w:trPr>
          <w:trHeight w:val="402"/>
        </w:trPr>
        <w:tc>
          <w:tcPr>
            <w:tcW w:w="2660" w:type="pct"/>
            <w:tcBorders>
              <w:top w:val="nil"/>
              <w:left w:val="nil"/>
              <w:bottom w:val="single" w:sz="8" w:space="0" w:color="auto"/>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b/>
                <w:bCs/>
                <w:color w:val="44546A"/>
              </w:rPr>
            </w:pPr>
          </w:p>
        </w:tc>
        <w:tc>
          <w:tcPr>
            <w:tcW w:w="780" w:type="pct"/>
            <w:tcBorders>
              <w:top w:val="nil"/>
              <w:left w:val="nil"/>
              <w:bottom w:val="single" w:sz="8" w:space="0" w:color="auto"/>
              <w:right w:val="nil"/>
            </w:tcBorders>
            <w:shd w:val="clear" w:color="auto" w:fill="auto"/>
            <w:noWrap/>
            <w:vAlign w:val="bottom"/>
            <w:hideMark/>
          </w:tcPr>
          <w:p w:rsidR="00604570" w:rsidRPr="00604570" w:rsidRDefault="00F01DA3" w:rsidP="00604570">
            <w:pPr>
              <w:spacing w:line="240" w:lineRule="auto"/>
              <w:jc w:val="center"/>
              <w:rPr>
                <w:rFonts w:ascii="Calibri" w:eastAsia="Times New Roman" w:hAnsi="Calibri" w:cs="Times New Roman"/>
                <w:b/>
                <w:bCs/>
                <w:color w:val="44546A"/>
              </w:rPr>
            </w:pPr>
            <w:r>
              <w:rPr>
                <w:rFonts w:ascii="Calibri" w:eastAsia="Times New Roman" w:hAnsi="Calibri" w:cs="Times New Roman"/>
                <w:b/>
                <w:bCs/>
                <w:color w:val="44546A"/>
              </w:rPr>
              <w:t xml:space="preserve">Year 1 </w:t>
            </w:r>
            <w:r w:rsidR="00604570" w:rsidRPr="00604570">
              <w:rPr>
                <w:rFonts w:ascii="Calibri" w:eastAsia="Times New Roman" w:hAnsi="Calibri" w:cs="Times New Roman"/>
                <w:b/>
                <w:bCs/>
                <w:color w:val="44546A"/>
              </w:rPr>
              <w:t xml:space="preserve">(£) </w:t>
            </w:r>
          </w:p>
        </w:tc>
        <w:tc>
          <w:tcPr>
            <w:tcW w:w="780" w:type="pct"/>
            <w:tcBorders>
              <w:top w:val="nil"/>
              <w:left w:val="nil"/>
              <w:bottom w:val="single" w:sz="8" w:space="0" w:color="auto"/>
              <w:right w:val="nil"/>
            </w:tcBorders>
            <w:shd w:val="clear" w:color="auto" w:fill="auto"/>
            <w:noWrap/>
            <w:vAlign w:val="bottom"/>
            <w:hideMark/>
          </w:tcPr>
          <w:p w:rsidR="00604570" w:rsidRPr="00604570" w:rsidRDefault="00F01DA3" w:rsidP="00604570">
            <w:pPr>
              <w:spacing w:line="240" w:lineRule="auto"/>
              <w:jc w:val="center"/>
              <w:rPr>
                <w:rFonts w:ascii="Calibri" w:eastAsia="Times New Roman" w:hAnsi="Calibri" w:cs="Times New Roman"/>
                <w:b/>
                <w:bCs/>
                <w:color w:val="44546A"/>
              </w:rPr>
            </w:pPr>
            <w:r>
              <w:rPr>
                <w:rFonts w:ascii="Calibri" w:eastAsia="Times New Roman" w:hAnsi="Calibri" w:cs="Times New Roman"/>
                <w:b/>
                <w:bCs/>
                <w:color w:val="44546A"/>
              </w:rPr>
              <w:t xml:space="preserve"> Year 2 </w:t>
            </w:r>
            <w:r w:rsidR="00604570" w:rsidRPr="00604570">
              <w:rPr>
                <w:rFonts w:ascii="Calibri" w:eastAsia="Times New Roman" w:hAnsi="Calibri" w:cs="Times New Roman"/>
                <w:b/>
                <w:bCs/>
                <w:color w:val="44546A"/>
              </w:rPr>
              <w:t xml:space="preserve">(£) </w:t>
            </w:r>
          </w:p>
        </w:tc>
        <w:tc>
          <w:tcPr>
            <w:tcW w:w="780" w:type="pct"/>
            <w:tcBorders>
              <w:top w:val="nil"/>
              <w:left w:val="nil"/>
              <w:bottom w:val="single" w:sz="8" w:space="0" w:color="auto"/>
              <w:right w:val="nil"/>
            </w:tcBorders>
            <w:shd w:val="clear" w:color="auto" w:fill="auto"/>
            <w:noWrap/>
            <w:vAlign w:val="bottom"/>
            <w:hideMark/>
          </w:tcPr>
          <w:p w:rsidR="00604570" w:rsidRPr="00604570" w:rsidRDefault="00823441" w:rsidP="00604570">
            <w:pPr>
              <w:spacing w:line="240" w:lineRule="auto"/>
              <w:jc w:val="center"/>
              <w:rPr>
                <w:rFonts w:ascii="Calibri" w:eastAsia="Times New Roman" w:hAnsi="Calibri" w:cs="Times New Roman"/>
                <w:b/>
                <w:bCs/>
                <w:color w:val="44546A"/>
              </w:rPr>
            </w:pPr>
            <w:r>
              <w:rPr>
                <w:rFonts w:ascii="Calibri" w:eastAsia="Times New Roman" w:hAnsi="Calibri" w:cs="Times New Roman"/>
                <w:b/>
                <w:bCs/>
                <w:color w:val="44546A"/>
              </w:rPr>
              <w:t xml:space="preserve">Year 3 </w:t>
            </w:r>
            <w:r w:rsidR="00604570" w:rsidRPr="00604570">
              <w:rPr>
                <w:rFonts w:ascii="Calibri" w:eastAsia="Times New Roman" w:hAnsi="Calibri" w:cs="Times New Roman"/>
                <w:b/>
                <w:bCs/>
                <w:color w:val="44546A"/>
              </w:rPr>
              <w:t>(£)</w:t>
            </w:r>
          </w:p>
        </w:tc>
      </w:tr>
      <w:tr w:rsidR="00604570" w:rsidRPr="00604570" w:rsidTr="00604570">
        <w:trPr>
          <w:trHeight w:val="402"/>
        </w:trPr>
        <w:tc>
          <w:tcPr>
            <w:tcW w:w="266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Balance bought forward</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150,000 </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112,500 </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84,375 </w:t>
            </w:r>
          </w:p>
        </w:tc>
      </w:tr>
      <w:tr w:rsidR="00604570" w:rsidRPr="00604570" w:rsidTr="00604570">
        <w:trPr>
          <w:trHeight w:val="402"/>
        </w:trPr>
        <w:tc>
          <w:tcPr>
            <w:tcW w:w="266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Allowance @25%</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37,500 </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28,125 </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   </w:t>
            </w:r>
          </w:p>
        </w:tc>
      </w:tr>
      <w:tr w:rsidR="00604570" w:rsidRPr="00604570" w:rsidTr="00604570">
        <w:trPr>
          <w:trHeight w:val="402"/>
        </w:trPr>
        <w:tc>
          <w:tcPr>
            <w:tcW w:w="266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Balance allowance</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112,500 </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84,375 </w:t>
            </w:r>
          </w:p>
        </w:tc>
        <w:tc>
          <w:tcPr>
            <w:tcW w:w="780" w:type="pct"/>
            <w:tcBorders>
              <w:top w:val="nil"/>
              <w:left w:val="nil"/>
              <w:bottom w:val="nil"/>
              <w:right w:val="nil"/>
            </w:tcBorders>
            <w:shd w:val="clear" w:color="auto" w:fill="auto"/>
            <w:noWrap/>
            <w:vAlign w:val="bottom"/>
            <w:hideMark/>
          </w:tcPr>
          <w:p w:rsidR="00604570" w:rsidRPr="00604570" w:rsidRDefault="00604570" w:rsidP="00604570">
            <w:pPr>
              <w:spacing w:line="240" w:lineRule="auto"/>
              <w:rPr>
                <w:rFonts w:ascii="Calibri" w:eastAsia="Times New Roman" w:hAnsi="Calibri" w:cs="Times New Roman"/>
                <w:color w:val="000000"/>
              </w:rPr>
            </w:pPr>
            <w:r w:rsidRPr="00604570">
              <w:rPr>
                <w:rFonts w:ascii="Calibri" w:eastAsia="Times New Roman" w:hAnsi="Calibri" w:cs="Times New Roman"/>
                <w:color w:val="000000"/>
              </w:rPr>
              <w:t xml:space="preserve"> £      84,375 </w:t>
            </w:r>
          </w:p>
        </w:tc>
      </w:tr>
    </w:tbl>
    <w:p w:rsidR="00604570" w:rsidRDefault="00604570" w:rsidP="00604570"/>
    <w:p w:rsidR="00A3156C" w:rsidRDefault="00A3156C" w:rsidP="00A3156C">
      <w:pPr>
        <w:pStyle w:val="Caption"/>
        <w:keepNext/>
      </w:pPr>
      <w:bookmarkStart w:id="39" w:name="_Toc448030135"/>
      <w:r>
        <w:t xml:space="preserve">Table </w:t>
      </w:r>
      <w:r w:rsidR="006902CB">
        <w:fldChar w:fldCharType="begin"/>
      </w:r>
      <w:r w:rsidR="006902CB">
        <w:instrText xml:space="preserve"> SEQ Table \* ARABIC </w:instrText>
      </w:r>
      <w:r w:rsidR="006902CB">
        <w:fldChar w:fldCharType="separate"/>
      </w:r>
      <w:r w:rsidR="00427680">
        <w:rPr>
          <w:noProof/>
        </w:rPr>
        <w:t>6</w:t>
      </w:r>
      <w:r w:rsidR="006902CB">
        <w:rPr>
          <w:noProof/>
        </w:rPr>
        <w:fldChar w:fldCharType="end"/>
      </w:r>
      <w:r>
        <w:t>: Tax computations</w:t>
      </w:r>
      <w:bookmarkEnd w:id="39"/>
    </w:p>
    <w:tbl>
      <w:tblPr>
        <w:tblW w:w="5000" w:type="pct"/>
        <w:tblLook w:val="04A0" w:firstRow="1" w:lastRow="0" w:firstColumn="1" w:lastColumn="0" w:noHBand="0" w:noVBand="1"/>
      </w:tblPr>
      <w:tblGrid>
        <w:gridCol w:w="4980"/>
        <w:gridCol w:w="1460"/>
        <w:gridCol w:w="1460"/>
        <w:gridCol w:w="1460"/>
      </w:tblGrid>
      <w:tr w:rsidR="00A3156C" w:rsidRPr="00A3156C" w:rsidTr="00A3156C">
        <w:trPr>
          <w:trHeight w:val="402"/>
        </w:trPr>
        <w:tc>
          <w:tcPr>
            <w:tcW w:w="2660" w:type="pct"/>
            <w:tcBorders>
              <w:top w:val="nil"/>
              <w:left w:val="nil"/>
              <w:bottom w:val="single" w:sz="8" w:space="0" w:color="auto"/>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b/>
                <w:bCs/>
                <w:color w:val="44546A"/>
              </w:rPr>
            </w:pPr>
            <w:r w:rsidRPr="00A3156C">
              <w:rPr>
                <w:rFonts w:ascii="Calibri" w:eastAsia="Times New Roman" w:hAnsi="Calibri" w:cs="Times New Roman"/>
                <w:b/>
                <w:bCs/>
                <w:color w:val="44546A"/>
              </w:rPr>
              <w:t>Tax computation</w:t>
            </w:r>
          </w:p>
        </w:tc>
        <w:tc>
          <w:tcPr>
            <w:tcW w:w="780" w:type="pct"/>
            <w:tcBorders>
              <w:top w:val="nil"/>
              <w:left w:val="nil"/>
              <w:bottom w:val="single" w:sz="8" w:space="0" w:color="auto"/>
              <w:right w:val="nil"/>
            </w:tcBorders>
            <w:shd w:val="clear" w:color="auto" w:fill="auto"/>
            <w:noWrap/>
            <w:vAlign w:val="bottom"/>
            <w:hideMark/>
          </w:tcPr>
          <w:p w:rsidR="00A3156C" w:rsidRPr="00A3156C" w:rsidRDefault="00A64653" w:rsidP="00A3156C">
            <w:pPr>
              <w:spacing w:line="240" w:lineRule="auto"/>
              <w:jc w:val="center"/>
              <w:rPr>
                <w:rFonts w:ascii="Calibri" w:eastAsia="Times New Roman" w:hAnsi="Calibri" w:cs="Times New Roman"/>
                <w:b/>
                <w:bCs/>
                <w:color w:val="44546A"/>
              </w:rPr>
            </w:pPr>
            <w:r>
              <w:rPr>
                <w:rFonts w:ascii="Calibri" w:eastAsia="Times New Roman" w:hAnsi="Calibri" w:cs="Times New Roman"/>
                <w:b/>
                <w:bCs/>
                <w:color w:val="44546A"/>
              </w:rPr>
              <w:t xml:space="preserve">Year 1 </w:t>
            </w:r>
            <w:r w:rsidR="00A3156C" w:rsidRPr="00A3156C">
              <w:rPr>
                <w:rFonts w:ascii="Calibri" w:eastAsia="Times New Roman" w:hAnsi="Calibri" w:cs="Times New Roman"/>
                <w:b/>
                <w:bCs/>
                <w:color w:val="44546A"/>
              </w:rPr>
              <w:t xml:space="preserve">(£) </w:t>
            </w:r>
          </w:p>
        </w:tc>
        <w:tc>
          <w:tcPr>
            <w:tcW w:w="780" w:type="pct"/>
            <w:tcBorders>
              <w:top w:val="nil"/>
              <w:left w:val="nil"/>
              <w:bottom w:val="single" w:sz="8" w:space="0" w:color="auto"/>
              <w:right w:val="nil"/>
            </w:tcBorders>
            <w:shd w:val="clear" w:color="auto" w:fill="auto"/>
            <w:noWrap/>
            <w:vAlign w:val="bottom"/>
            <w:hideMark/>
          </w:tcPr>
          <w:p w:rsidR="00A3156C" w:rsidRPr="00A3156C" w:rsidRDefault="00A64653" w:rsidP="00A3156C">
            <w:pPr>
              <w:spacing w:line="240" w:lineRule="auto"/>
              <w:jc w:val="center"/>
              <w:rPr>
                <w:rFonts w:ascii="Calibri" w:eastAsia="Times New Roman" w:hAnsi="Calibri" w:cs="Times New Roman"/>
                <w:b/>
                <w:bCs/>
                <w:color w:val="44546A"/>
              </w:rPr>
            </w:pPr>
            <w:r>
              <w:rPr>
                <w:rFonts w:ascii="Calibri" w:eastAsia="Times New Roman" w:hAnsi="Calibri" w:cs="Times New Roman"/>
                <w:b/>
                <w:bCs/>
                <w:color w:val="44546A"/>
              </w:rPr>
              <w:t xml:space="preserve">Year 2 </w:t>
            </w:r>
            <w:r w:rsidR="00A3156C" w:rsidRPr="00A3156C">
              <w:rPr>
                <w:rFonts w:ascii="Calibri" w:eastAsia="Times New Roman" w:hAnsi="Calibri" w:cs="Times New Roman"/>
                <w:b/>
                <w:bCs/>
                <w:color w:val="44546A"/>
              </w:rPr>
              <w:t xml:space="preserve">(£) </w:t>
            </w:r>
          </w:p>
        </w:tc>
        <w:tc>
          <w:tcPr>
            <w:tcW w:w="780" w:type="pct"/>
            <w:tcBorders>
              <w:top w:val="nil"/>
              <w:left w:val="nil"/>
              <w:bottom w:val="single" w:sz="8" w:space="0" w:color="auto"/>
              <w:right w:val="nil"/>
            </w:tcBorders>
            <w:shd w:val="clear" w:color="auto" w:fill="auto"/>
            <w:noWrap/>
            <w:vAlign w:val="bottom"/>
            <w:hideMark/>
          </w:tcPr>
          <w:p w:rsidR="00A3156C" w:rsidRPr="00A3156C" w:rsidRDefault="00002137" w:rsidP="00A3156C">
            <w:pPr>
              <w:spacing w:line="240" w:lineRule="auto"/>
              <w:jc w:val="center"/>
              <w:rPr>
                <w:rFonts w:ascii="Calibri" w:eastAsia="Times New Roman" w:hAnsi="Calibri" w:cs="Times New Roman"/>
                <w:b/>
                <w:bCs/>
                <w:color w:val="44546A"/>
              </w:rPr>
            </w:pPr>
            <w:r>
              <w:rPr>
                <w:rFonts w:ascii="Calibri" w:eastAsia="Times New Roman" w:hAnsi="Calibri" w:cs="Times New Roman"/>
                <w:b/>
                <w:bCs/>
                <w:color w:val="44546A"/>
              </w:rPr>
              <w:t xml:space="preserve">Year 3 </w:t>
            </w:r>
            <w:r w:rsidR="00A3156C" w:rsidRPr="00A3156C">
              <w:rPr>
                <w:rFonts w:ascii="Calibri" w:eastAsia="Times New Roman" w:hAnsi="Calibri" w:cs="Times New Roman"/>
                <w:b/>
                <w:bCs/>
                <w:color w:val="44546A"/>
              </w:rPr>
              <w:t>(£)</w:t>
            </w:r>
          </w:p>
        </w:tc>
      </w:tr>
      <w:tr w:rsidR="00A3156C" w:rsidRPr="00A3156C" w:rsidTr="00A3156C">
        <w:trPr>
          <w:trHeight w:val="402"/>
        </w:trPr>
        <w:tc>
          <w:tcPr>
            <w:tcW w:w="266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Taxable profits</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30,000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25,000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19,750 </w:t>
            </w:r>
          </w:p>
        </w:tc>
      </w:tr>
      <w:tr w:rsidR="00A3156C" w:rsidRPr="00A3156C" w:rsidTr="00A3156C">
        <w:trPr>
          <w:trHeight w:val="402"/>
        </w:trPr>
        <w:tc>
          <w:tcPr>
            <w:tcW w:w="266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Add: Depreciation</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50,000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50,000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50,000 </w:t>
            </w:r>
          </w:p>
        </w:tc>
      </w:tr>
      <w:tr w:rsidR="00A3156C" w:rsidRPr="00A3156C" w:rsidTr="00A3156C">
        <w:trPr>
          <w:trHeight w:val="402"/>
        </w:trPr>
        <w:tc>
          <w:tcPr>
            <w:tcW w:w="266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Less: Capital allowances</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37,500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28,125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84,375 </w:t>
            </w:r>
          </w:p>
        </w:tc>
      </w:tr>
      <w:tr w:rsidR="00A3156C" w:rsidRPr="00A3156C" w:rsidTr="00A3156C">
        <w:trPr>
          <w:trHeight w:val="402"/>
        </w:trPr>
        <w:tc>
          <w:tcPr>
            <w:tcW w:w="266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Profits chargeable to corporation tax</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42,500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46,875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14,625 </w:t>
            </w:r>
          </w:p>
        </w:tc>
      </w:tr>
      <w:tr w:rsidR="00A3156C" w:rsidRPr="00A3156C" w:rsidTr="00A3156C">
        <w:trPr>
          <w:trHeight w:val="402"/>
        </w:trPr>
        <w:tc>
          <w:tcPr>
            <w:tcW w:w="266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Corporation tax @ 33%</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14,025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      15,469 </w:t>
            </w:r>
          </w:p>
        </w:tc>
        <w:tc>
          <w:tcPr>
            <w:tcW w:w="780" w:type="pct"/>
            <w:tcBorders>
              <w:top w:val="nil"/>
              <w:left w:val="nil"/>
              <w:bottom w:val="nil"/>
              <w:right w:val="nil"/>
            </w:tcBorders>
            <w:shd w:val="clear" w:color="auto" w:fill="auto"/>
            <w:noWrap/>
            <w:vAlign w:val="bottom"/>
            <w:hideMark/>
          </w:tcPr>
          <w:p w:rsidR="00A3156C" w:rsidRPr="00A3156C" w:rsidRDefault="00A3156C" w:rsidP="00A3156C">
            <w:pPr>
              <w:spacing w:line="240" w:lineRule="auto"/>
              <w:rPr>
                <w:rFonts w:ascii="Calibri" w:eastAsia="Times New Roman" w:hAnsi="Calibri" w:cs="Times New Roman"/>
                <w:color w:val="000000"/>
              </w:rPr>
            </w:pPr>
            <w:r w:rsidRPr="00A3156C">
              <w:rPr>
                <w:rFonts w:ascii="Calibri" w:eastAsia="Times New Roman" w:hAnsi="Calibri" w:cs="Times New Roman"/>
                <w:color w:val="000000"/>
              </w:rPr>
              <w:t xml:space="preserve">-£       4,826 </w:t>
            </w:r>
          </w:p>
        </w:tc>
      </w:tr>
    </w:tbl>
    <w:p w:rsidR="00A3156C" w:rsidRDefault="00A3156C" w:rsidP="00604570"/>
    <w:p w:rsidR="004236D0" w:rsidRDefault="004236D0" w:rsidP="00604570"/>
    <w:p w:rsidR="004236D0" w:rsidRDefault="004236D0" w:rsidP="00604570"/>
    <w:p w:rsidR="002C78A6" w:rsidRDefault="002C78A6" w:rsidP="00604570"/>
    <w:p w:rsidR="002C78A6" w:rsidRDefault="002C78A6" w:rsidP="00604570"/>
    <w:p w:rsidR="002C78A6" w:rsidRDefault="002C78A6" w:rsidP="00604570"/>
    <w:p w:rsidR="002C78A6" w:rsidRDefault="002C78A6" w:rsidP="00604570"/>
    <w:p w:rsidR="002C78A6" w:rsidRDefault="002C78A6" w:rsidP="002C78A6">
      <w:pPr>
        <w:pStyle w:val="Heading2"/>
      </w:pPr>
      <w:bookmarkStart w:id="40" w:name="_Toc448030095"/>
      <w:r>
        <w:t>Alternate investment appraisal method</w:t>
      </w:r>
      <w:bookmarkEnd w:id="40"/>
    </w:p>
    <w:p w:rsidR="006F645F" w:rsidRDefault="006F645F" w:rsidP="006F645F">
      <w:r>
        <w:tab/>
      </w:r>
      <w:r w:rsidR="004365A3">
        <w:t xml:space="preserve">Two other appraisal method is internal rate of return and payback period. Internal rate of return gives year on year return generated over the life of the project. </w:t>
      </w:r>
      <w:r w:rsidR="00D82787">
        <w:t xml:space="preserve">Here, internal rate of return of the proposal is 16.73% and cost of the capital of the project is 18%. That means the project earns lower return than cost of capital. Hence, the proposal would be rejected. </w:t>
      </w:r>
    </w:p>
    <w:p w:rsidR="008138F5" w:rsidRDefault="00F37059" w:rsidP="006F645F">
      <w:r>
        <w:tab/>
      </w:r>
      <w:r w:rsidR="008138F5">
        <w:t xml:space="preserve">Payback period shows time period require to recover the capital invested in the project. Appendix 1 shows the calculation of payback period and the payback period of a project is 2.17 years. That means the company would recover initial capital investment in 2.17 years when project life is estimated at 3 years. Usually, companies prefer project with lower payback period in order to reduce investment risk and to recover </w:t>
      </w:r>
      <w:r w:rsidR="005C023F">
        <w:t>capital</w:t>
      </w:r>
      <w:r w:rsidR="008138F5">
        <w:t xml:space="preserve"> as soon as possible. </w:t>
      </w:r>
    </w:p>
    <w:p w:rsidR="00B348DA" w:rsidRDefault="00B348DA" w:rsidP="006F645F"/>
    <w:p w:rsidR="00A44672" w:rsidRDefault="00A44672" w:rsidP="00A44672">
      <w:pPr>
        <w:pStyle w:val="Heading2"/>
      </w:pPr>
      <w:bookmarkStart w:id="41" w:name="_Toc448030096"/>
      <w:r>
        <w:t>Other factors</w:t>
      </w:r>
      <w:bookmarkEnd w:id="41"/>
    </w:p>
    <w:p w:rsidR="0071310C" w:rsidRDefault="00C2367A" w:rsidP="00397783">
      <w:pPr>
        <w:pStyle w:val="ListParagraph"/>
        <w:numPr>
          <w:ilvl w:val="0"/>
          <w:numId w:val="4"/>
        </w:numPr>
      </w:pPr>
      <w:r>
        <w:t xml:space="preserve">The company must look at the possible range of NPV rather than focusing on single NPV based on the single assumption. </w:t>
      </w:r>
      <w:r w:rsidR="00CB3D5E">
        <w:t xml:space="preserve">Sensitivity analysis is required to get the range of NPV. </w:t>
      </w:r>
    </w:p>
    <w:p w:rsidR="00CB3D5E" w:rsidRDefault="00CB3D5E" w:rsidP="00397783">
      <w:pPr>
        <w:pStyle w:val="ListParagraph"/>
        <w:numPr>
          <w:ilvl w:val="0"/>
          <w:numId w:val="4"/>
        </w:numPr>
      </w:pPr>
      <w:r>
        <w:t xml:space="preserve">Second, comparing two projects of different size and different time period requires different treatment. </w:t>
      </w:r>
      <w:r w:rsidR="006E16F3">
        <w:t>Project of large size may not fetch higher IRR than small projects but can generate substantial wealth which is not possible with small scale projects. Also, EAV method should be use when comparing cash flow of different project life.</w:t>
      </w:r>
    </w:p>
    <w:p w:rsidR="00715C0D" w:rsidRDefault="00715C0D" w:rsidP="00397783">
      <w:pPr>
        <w:pStyle w:val="ListParagraph"/>
        <w:numPr>
          <w:ilvl w:val="0"/>
          <w:numId w:val="4"/>
        </w:numPr>
      </w:pPr>
      <w:r>
        <w:t xml:space="preserve">Finally, impact on other business </w:t>
      </w:r>
      <w:r w:rsidR="00E648C0">
        <w:t xml:space="preserve">on going </w:t>
      </w:r>
      <w:bookmarkStart w:id="42" w:name="_GoBack"/>
      <w:bookmarkEnd w:id="42"/>
      <w:r>
        <w:t xml:space="preserve">activities should be considered. </w:t>
      </w:r>
    </w:p>
    <w:p w:rsidR="0071310C" w:rsidRDefault="0071310C" w:rsidP="0071310C"/>
    <w:p w:rsidR="0071310C" w:rsidRDefault="0071310C" w:rsidP="0071310C"/>
    <w:p w:rsidR="0071310C" w:rsidRDefault="0071310C" w:rsidP="0071310C"/>
    <w:p w:rsidR="0071310C" w:rsidRDefault="0071310C" w:rsidP="0071310C">
      <w:pPr>
        <w:tabs>
          <w:tab w:val="left" w:pos="720"/>
        </w:tabs>
      </w:pPr>
    </w:p>
    <w:p w:rsidR="0071310C" w:rsidRDefault="0071310C" w:rsidP="000B7153">
      <w:pPr>
        <w:pStyle w:val="Heading1"/>
      </w:pPr>
      <w:bookmarkStart w:id="43" w:name="_Toc448030097"/>
      <w:r>
        <w:lastRenderedPageBreak/>
        <w:t>References</w:t>
      </w:r>
      <w:bookmarkEnd w:id="43"/>
    </w:p>
    <w:p w:rsidR="0071310C" w:rsidRDefault="0071310C" w:rsidP="0071310C"/>
    <w:p w:rsidR="0071310C" w:rsidRDefault="0071310C" w:rsidP="0071310C">
      <w:pPr>
        <w:tabs>
          <w:tab w:val="left" w:pos="360"/>
        </w:tabs>
        <w:ind w:left="360" w:hanging="360"/>
      </w:pPr>
      <w:r>
        <w:t>Claim capital allowances - GOV.UK. (2016). Gov.uk. Retrieved 9 April 2016, from https://www.gov.uk/capital-allowances/overview</w:t>
      </w:r>
    </w:p>
    <w:p w:rsidR="0071310C" w:rsidRDefault="0071310C" w:rsidP="0071310C">
      <w:pPr>
        <w:tabs>
          <w:tab w:val="left" w:pos="360"/>
        </w:tabs>
        <w:ind w:left="360" w:hanging="360"/>
      </w:pPr>
    </w:p>
    <w:p w:rsidR="0071310C" w:rsidRDefault="0071310C" w:rsidP="0071310C">
      <w:pPr>
        <w:tabs>
          <w:tab w:val="left" w:pos="360"/>
        </w:tabs>
        <w:ind w:left="360" w:hanging="360"/>
      </w:pPr>
      <w:r>
        <w:t>Examples of Capital Allowance Tax Calculations - Brookson Ltd. (2016). Brookson.co.uk. Retrieved 10 April 2016, from http://www.brookson.co.uk/knowledge-centre/limited-company/company-tax/corporation-tax/capital-allowances/example-calculations/</w:t>
      </w:r>
    </w:p>
    <w:p w:rsidR="0071310C" w:rsidRDefault="0071310C" w:rsidP="0071310C">
      <w:pPr>
        <w:tabs>
          <w:tab w:val="left" w:pos="360"/>
        </w:tabs>
        <w:ind w:left="360" w:hanging="360"/>
      </w:pPr>
    </w:p>
    <w:p w:rsidR="0071310C" w:rsidRDefault="0071310C" w:rsidP="0071310C">
      <w:pPr>
        <w:tabs>
          <w:tab w:val="left" w:pos="360"/>
        </w:tabs>
        <w:ind w:left="360" w:hanging="360"/>
      </w:pPr>
      <w:r>
        <w:t>GÂDOIU, M. (2014). ADVANTAGES AND LIMITATIONS OF THE FINANCIAL RATIOS USED IN THE FINANCIAL DIAGNOSIS OF THE ENTERPRISE. Faculty of Economics, University of Piteşti. Retrieved from http://economic.upit.ro/repec/pdf/2014_2_9.pdf</w:t>
      </w:r>
    </w:p>
    <w:p w:rsidR="0071310C" w:rsidRDefault="0071310C" w:rsidP="0071310C">
      <w:pPr>
        <w:tabs>
          <w:tab w:val="left" w:pos="360"/>
        </w:tabs>
        <w:ind w:left="360" w:hanging="360"/>
      </w:pPr>
    </w:p>
    <w:p w:rsidR="004236D0" w:rsidRDefault="0071310C" w:rsidP="0071310C">
      <w:pPr>
        <w:tabs>
          <w:tab w:val="left" w:pos="360"/>
        </w:tabs>
        <w:ind w:left="360" w:hanging="360"/>
      </w:pPr>
      <w:r>
        <w:t>WM Morrison Supermarkets PLC, MRW:LSE financials - FT.com. (2016). Markets.ft.com. Retrieved 9 April 2016, from http://markets.ft.com/research/Markets/Tearsheets/Financials?s=MRW:LSE&amp;subview=IncomeStatement</w:t>
      </w:r>
      <w:r w:rsidR="00A4700B">
        <w:t xml:space="preserve"> </w:t>
      </w: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71310C">
      <w:pPr>
        <w:tabs>
          <w:tab w:val="left" w:pos="360"/>
        </w:tabs>
        <w:ind w:left="360" w:hanging="360"/>
      </w:pPr>
    </w:p>
    <w:p w:rsidR="009315A7" w:rsidRDefault="009315A7" w:rsidP="009315A7">
      <w:pPr>
        <w:pStyle w:val="Heading1"/>
      </w:pPr>
      <w:bookmarkStart w:id="44" w:name="_Toc448030098"/>
      <w:r>
        <w:lastRenderedPageBreak/>
        <w:t>Appendices</w:t>
      </w:r>
      <w:bookmarkEnd w:id="44"/>
      <w:r>
        <w:t xml:space="preserve"> </w:t>
      </w:r>
    </w:p>
    <w:p w:rsidR="009315A7" w:rsidRDefault="009315A7" w:rsidP="009315A7"/>
    <w:p w:rsidR="00427680" w:rsidRDefault="00F13D69" w:rsidP="00427680">
      <w:pPr>
        <w:pStyle w:val="Caption"/>
        <w:keepNext/>
      </w:pPr>
      <w:r>
        <w:t xml:space="preserve">Appendix 1: </w:t>
      </w:r>
      <w:r w:rsidR="00427680">
        <w:t>Payback period</w:t>
      </w:r>
    </w:p>
    <w:tbl>
      <w:tblPr>
        <w:tblW w:w="5000" w:type="pct"/>
        <w:tblLook w:val="04A0" w:firstRow="1" w:lastRow="0" w:firstColumn="1" w:lastColumn="0" w:noHBand="0" w:noVBand="1"/>
      </w:tblPr>
      <w:tblGrid>
        <w:gridCol w:w="3035"/>
        <w:gridCol w:w="1467"/>
        <w:gridCol w:w="1290"/>
        <w:gridCol w:w="1290"/>
        <w:gridCol w:w="1139"/>
        <w:gridCol w:w="1139"/>
      </w:tblGrid>
      <w:tr w:rsidR="00427680" w:rsidRPr="00427680" w:rsidTr="00427680">
        <w:trPr>
          <w:trHeight w:val="402"/>
        </w:trPr>
        <w:tc>
          <w:tcPr>
            <w:tcW w:w="1622" w:type="pct"/>
            <w:tcBorders>
              <w:top w:val="nil"/>
              <w:left w:val="nil"/>
              <w:bottom w:val="single" w:sz="8" w:space="0" w:color="9BC2E6"/>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b/>
                <w:bCs/>
                <w:color w:val="44546A"/>
              </w:rPr>
            </w:pPr>
            <w:r w:rsidRPr="00427680">
              <w:rPr>
                <w:rFonts w:ascii="Calibri" w:eastAsia="Times New Roman" w:hAnsi="Calibri" w:cs="Times New Roman"/>
                <w:b/>
                <w:bCs/>
                <w:color w:val="44546A"/>
              </w:rPr>
              <w:t> </w:t>
            </w:r>
          </w:p>
        </w:tc>
        <w:tc>
          <w:tcPr>
            <w:tcW w:w="784" w:type="pct"/>
            <w:tcBorders>
              <w:top w:val="nil"/>
              <w:left w:val="nil"/>
              <w:bottom w:val="single" w:sz="8" w:space="0" w:color="9BC2E6"/>
              <w:right w:val="nil"/>
            </w:tcBorders>
            <w:shd w:val="clear" w:color="auto" w:fill="auto"/>
            <w:noWrap/>
            <w:vAlign w:val="bottom"/>
            <w:hideMark/>
          </w:tcPr>
          <w:p w:rsidR="00427680" w:rsidRPr="00427680" w:rsidRDefault="00427680" w:rsidP="00427680">
            <w:pPr>
              <w:spacing w:line="240" w:lineRule="auto"/>
              <w:jc w:val="center"/>
              <w:rPr>
                <w:rFonts w:ascii="Calibri" w:eastAsia="Times New Roman" w:hAnsi="Calibri" w:cs="Times New Roman"/>
                <w:b/>
                <w:bCs/>
                <w:color w:val="44546A"/>
              </w:rPr>
            </w:pPr>
            <w:r w:rsidRPr="00427680">
              <w:rPr>
                <w:rFonts w:ascii="Calibri" w:eastAsia="Times New Roman" w:hAnsi="Calibri" w:cs="Times New Roman"/>
                <w:b/>
                <w:bCs/>
                <w:color w:val="44546A"/>
              </w:rPr>
              <w:t>Year 0</w:t>
            </w:r>
          </w:p>
        </w:tc>
        <w:tc>
          <w:tcPr>
            <w:tcW w:w="689" w:type="pct"/>
            <w:tcBorders>
              <w:top w:val="nil"/>
              <w:left w:val="nil"/>
              <w:bottom w:val="single" w:sz="8" w:space="0" w:color="9BC2E6"/>
              <w:right w:val="nil"/>
            </w:tcBorders>
            <w:shd w:val="clear" w:color="auto" w:fill="auto"/>
            <w:noWrap/>
            <w:vAlign w:val="bottom"/>
            <w:hideMark/>
          </w:tcPr>
          <w:p w:rsidR="00427680" w:rsidRPr="00427680" w:rsidRDefault="00427680" w:rsidP="00427680">
            <w:pPr>
              <w:spacing w:line="240" w:lineRule="auto"/>
              <w:jc w:val="center"/>
              <w:rPr>
                <w:rFonts w:ascii="Calibri" w:eastAsia="Times New Roman" w:hAnsi="Calibri" w:cs="Times New Roman"/>
                <w:b/>
                <w:bCs/>
                <w:color w:val="44546A"/>
              </w:rPr>
            </w:pPr>
            <w:r w:rsidRPr="00427680">
              <w:rPr>
                <w:rFonts w:ascii="Calibri" w:eastAsia="Times New Roman" w:hAnsi="Calibri" w:cs="Times New Roman"/>
                <w:b/>
                <w:bCs/>
                <w:color w:val="44546A"/>
              </w:rPr>
              <w:t xml:space="preserve">Year 1 </w:t>
            </w:r>
          </w:p>
        </w:tc>
        <w:tc>
          <w:tcPr>
            <w:tcW w:w="689" w:type="pct"/>
            <w:tcBorders>
              <w:top w:val="nil"/>
              <w:left w:val="nil"/>
              <w:bottom w:val="single" w:sz="8" w:space="0" w:color="9BC2E6"/>
              <w:right w:val="nil"/>
            </w:tcBorders>
            <w:shd w:val="clear" w:color="auto" w:fill="auto"/>
            <w:noWrap/>
            <w:vAlign w:val="bottom"/>
            <w:hideMark/>
          </w:tcPr>
          <w:p w:rsidR="00427680" w:rsidRPr="00427680" w:rsidRDefault="00427680" w:rsidP="00427680">
            <w:pPr>
              <w:spacing w:line="240" w:lineRule="auto"/>
              <w:jc w:val="center"/>
              <w:rPr>
                <w:rFonts w:ascii="Calibri" w:eastAsia="Times New Roman" w:hAnsi="Calibri" w:cs="Times New Roman"/>
                <w:b/>
                <w:bCs/>
                <w:color w:val="44546A"/>
              </w:rPr>
            </w:pPr>
            <w:r w:rsidRPr="00427680">
              <w:rPr>
                <w:rFonts w:ascii="Calibri" w:eastAsia="Times New Roman" w:hAnsi="Calibri" w:cs="Times New Roman"/>
                <w:b/>
                <w:bCs/>
                <w:color w:val="44546A"/>
              </w:rPr>
              <w:t xml:space="preserve">Year 2 </w:t>
            </w:r>
          </w:p>
        </w:tc>
        <w:tc>
          <w:tcPr>
            <w:tcW w:w="608" w:type="pct"/>
            <w:tcBorders>
              <w:top w:val="nil"/>
              <w:left w:val="nil"/>
              <w:bottom w:val="single" w:sz="8" w:space="0" w:color="9BC2E6"/>
              <w:right w:val="nil"/>
            </w:tcBorders>
            <w:shd w:val="clear" w:color="auto" w:fill="auto"/>
            <w:noWrap/>
            <w:vAlign w:val="bottom"/>
            <w:hideMark/>
          </w:tcPr>
          <w:p w:rsidR="00427680" w:rsidRPr="00427680" w:rsidRDefault="00427680" w:rsidP="00427680">
            <w:pPr>
              <w:spacing w:line="240" w:lineRule="auto"/>
              <w:jc w:val="center"/>
              <w:rPr>
                <w:rFonts w:ascii="Calibri" w:eastAsia="Times New Roman" w:hAnsi="Calibri" w:cs="Times New Roman"/>
                <w:b/>
                <w:bCs/>
                <w:color w:val="44546A"/>
              </w:rPr>
            </w:pPr>
            <w:r w:rsidRPr="00427680">
              <w:rPr>
                <w:rFonts w:ascii="Calibri" w:eastAsia="Times New Roman" w:hAnsi="Calibri" w:cs="Times New Roman"/>
                <w:b/>
                <w:bCs/>
                <w:color w:val="44546A"/>
              </w:rPr>
              <w:t xml:space="preserve">Year 3 </w:t>
            </w:r>
          </w:p>
        </w:tc>
        <w:tc>
          <w:tcPr>
            <w:tcW w:w="608" w:type="pct"/>
            <w:tcBorders>
              <w:top w:val="nil"/>
              <w:left w:val="nil"/>
              <w:bottom w:val="single" w:sz="8" w:space="0" w:color="9BC2E6"/>
              <w:right w:val="nil"/>
            </w:tcBorders>
            <w:shd w:val="clear" w:color="auto" w:fill="auto"/>
            <w:noWrap/>
            <w:vAlign w:val="bottom"/>
            <w:hideMark/>
          </w:tcPr>
          <w:p w:rsidR="00427680" w:rsidRPr="00427680" w:rsidRDefault="00427680" w:rsidP="00427680">
            <w:pPr>
              <w:spacing w:line="240" w:lineRule="auto"/>
              <w:jc w:val="center"/>
              <w:rPr>
                <w:rFonts w:ascii="Calibri" w:eastAsia="Times New Roman" w:hAnsi="Calibri" w:cs="Times New Roman"/>
                <w:b/>
                <w:bCs/>
                <w:color w:val="44546A"/>
              </w:rPr>
            </w:pPr>
            <w:r w:rsidRPr="00427680">
              <w:rPr>
                <w:rFonts w:ascii="Calibri" w:eastAsia="Times New Roman" w:hAnsi="Calibri" w:cs="Times New Roman"/>
                <w:b/>
                <w:bCs/>
                <w:color w:val="44546A"/>
              </w:rPr>
              <w:t>Year 4</w:t>
            </w:r>
          </w:p>
        </w:tc>
      </w:tr>
      <w:tr w:rsidR="00427680" w:rsidRPr="00427680" w:rsidTr="00427680">
        <w:trPr>
          <w:trHeight w:val="402"/>
        </w:trPr>
        <w:tc>
          <w:tcPr>
            <w:tcW w:w="1622"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b/>
                <w:bCs/>
                <w:color w:val="44546A"/>
              </w:rPr>
            </w:pPr>
            <w:r w:rsidRPr="00427680">
              <w:rPr>
                <w:rFonts w:ascii="Calibri" w:eastAsia="Times New Roman" w:hAnsi="Calibri" w:cs="Times New Roman"/>
                <w:b/>
                <w:bCs/>
                <w:color w:val="44546A"/>
              </w:rPr>
              <w:t>Cash flow</w:t>
            </w:r>
          </w:p>
        </w:tc>
        <w:tc>
          <w:tcPr>
            <w:tcW w:w="784"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150,000 </w:t>
            </w:r>
          </w:p>
        </w:tc>
        <w:tc>
          <w:tcPr>
            <w:tcW w:w="689"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      80,000 </w:t>
            </w:r>
          </w:p>
        </w:tc>
        <w:tc>
          <w:tcPr>
            <w:tcW w:w="689"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      60,975 </w:t>
            </w:r>
          </w:p>
        </w:tc>
        <w:tc>
          <w:tcPr>
            <w:tcW w:w="608"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   54,281 </w:t>
            </w:r>
          </w:p>
        </w:tc>
        <w:tc>
          <w:tcPr>
            <w:tcW w:w="608"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     4,826 </w:t>
            </w:r>
          </w:p>
        </w:tc>
      </w:tr>
      <w:tr w:rsidR="00427680" w:rsidRPr="00427680" w:rsidTr="00427680">
        <w:trPr>
          <w:trHeight w:val="402"/>
        </w:trPr>
        <w:tc>
          <w:tcPr>
            <w:tcW w:w="1622"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b/>
                <w:bCs/>
                <w:color w:val="44546A"/>
              </w:rPr>
            </w:pPr>
            <w:r w:rsidRPr="00427680">
              <w:rPr>
                <w:rFonts w:ascii="Calibri" w:eastAsia="Times New Roman" w:hAnsi="Calibri" w:cs="Times New Roman"/>
                <w:b/>
                <w:bCs/>
                <w:color w:val="44546A"/>
              </w:rPr>
              <w:t>Cumulative cash flow</w:t>
            </w:r>
          </w:p>
        </w:tc>
        <w:tc>
          <w:tcPr>
            <w:tcW w:w="784"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150,000 </w:t>
            </w:r>
          </w:p>
        </w:tc>
        <w:tc>
          <w:tcPr>
            <w:tcW w:w="689"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70,000 </w:t>
            </w:r>
          </w:p>
        </w:tc>
        <w:tc>
          <w:tcPr>
            <w:tcW w:w="689"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9,025 </w:t>
            </w:r>
          </w:p>
        </w:tc>
        <w:tc>
          <w:tcPr>
            <w:tcW w:w="608"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   45,256 </w:t>
            </w:r>
          </w:p>
        </w:tc>
        <w:tc>
          <w:tcPr>
            <w:tcW w:w="608"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color w:val="000000"/>
              </w:rPr>
            </w:pPr>
            <w:r w:rsidRPr="00427680">
              <w:rPr>
                <w:rFonts w:ascii="Calibri" w:eastAsia="Times New Roman" w:hAnsi="Calibri" w:cs="Times New Roman"/>
                <w:color w:val="000000"/>
              </w:rPr>
              <w:t xml:space="preserve"> £   50,083 </w:t>
            </w:r>
          </w:p>
        </w:tc>
      </w:tr>
      <w:tr w:rsidR="00427680" w:rsidRPr="00427680" w:rsidTr="00427680">
        <w:trPr>
          <w:trHeight w:val="402"/>
        </w:trPr>
        <w:tc>
          <w:tcPr>
            <w:tcW w:w="1622"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Calibri" w:eastAsia="Times New Roman" w:hAnsi="Calibri" w:cs="Times New Roman"/>
                <w:b/>
                <w:bCs/>
                <w:color w:val="44546A"/>
              </w:rPr>
            </w:pPr>
            <w:r w:rsidRPr="00427680">
              <w:rPr>
                <w:rFonts w:ascii="Calibri" w:eastAsia="Times New Roman" w:hAnsi="Calibri" w:cs="Times New Roman"/>
                <w:b/>
                <w:bCs/>
                <w:color w:val="44546A"/>
              </w:rPr>
              <w:t>Payback period</w:t>
            </w:r>
          </w:p>
        </w:tc>
        <w:tc>
          <w:tcPr>
            <w:tcW w:w="784" w:type="pct"/>
            <w:tcBorders>
              <w:top w:val="nil"/>
              <w:left w:val="nil"/>
              <w:bottom w:val="nil"/>
              <w:right w:val="nil"/>
            </w:tcBorders>
            <w:shd w:val="clear" w:color="auto" w:fill="auto"/>
            <w:noWrap/>
            <w:vAlign w:val="bottom"/>
            <w:hideMark/>
          </w:tcPr>
          <w:p w:rsidR="00427680" w:rsidRPr="00427680" w:rsidRDefault="00427680" w:rsidP="00427680">
            <w:pPr>
              <w:spacing w:line="240" w:lineRule="auto"/>
              <w:jc w:val="right"/>
              <w:rPr>
                <w:rFonts w:ascii="Calibri" w:eastAsia="Times New Roman" w:hAnsi="Calibri" w:cs="Times New Roman"/>
                <w:color w:val="000000"/>
              </w:rPr>
            </w:pPr>
            <w:r w:rsidRPr="00427680">
              <w:rPr>
                <w:rFonts w:ascii="Calibri" w:eastAsia="Times New Roman" w:hAnsi="Calibri" w:cs="Times New Roman"/>
                <w:color w:val="000000"/>
              </w:rPr>
              <w:t>2.17</w:t>
            </w:r>
          </w:p>
        </w:tc>
        <w:tc>
          <w:tcPr>
            <w:tcW w:w="689" w:type="pct"/>
            <w:tcBorders>
              <w:top w:val="nil"/>
              <w:left w:val="nil"/>
              <w:bottom w:val="nil"/>
              <w:right w:val="nil"/>
            </w:tcBorders>
            <w:shd w:val="clear" w:color="auto" w:fill="auto"/>
            <w:noWrap/>
            <w:vAlign w:val="bottom"/>
            <w:hideMark/>
          </w:tcPr>
          <w:p w:rsidR="00427680" w:rsidRPr="00427680" w:rsidRDefault="00427680" w:rsidP="00427680">
            <w:pPr>
              <w:spacing w:line="240" w:lineRule="auto"/>
              <w:jc w:val="right"/>
              <w:rPr>
                <w:rFonts w:ascii="Calibri" w:eastAsia="Times New Roman" w:hAnsi="Calibri" w:cs="Times New Roman"/>
                <w:color w:val="000000"/>
              </w:rPr>
            </w:pPr>
          </w:p>
        </w:tc>
        <w:tc>
          <w:tcPr>
            <w:tcW w:w="689"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Times New Roman" w:eastAsia="Times New Roman" w:hAnsi="Times New Roman" w:cs="Times New Roman"/>
                <w:sz w:val="20"/>
                <w:szCs w:val="20"/>
              </w:rPr>
            </w:pPr>
          </w:p>
        </w:tc>
        <w:tc>
          <w:tcPr>
            <w:tcW w:w="608"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Times New Roman" w:eastAsia="Times New Roman" w:hAnsi="Times New Roman" w:cs="Times New Roman"/>
                <w:sz w:val="20"/>
                <w:szCs w:val="20"/>
              </w:rPr>
            </w:pPr>
          </w:p>
        </w:tc>
        <w:tc>
          <w:tcPr>
            <w:tcW w:w="608" w:type="pct"/>
            <w:tcBorders>
              <w:top w:val="nil"/>
              <w:left w:val="nil"/>
              <w:bottom w:val="nil"/>
              <w:right w:val="nil"/>
            </w:tcBorders>
            <w:shd w:val="clear" w:color="auto" w:fill="auto"/>
            <w:noWrap/>
            <w:vAlign w:val="bottom"/>
            <w:hideMark/>
          </w:tcPr>
          <w:p w:rsidR="00427680" w:rsidRPr="00427680" w:rsidRDefault="00427680" w:rsidP="00427680">
            <w:pPr>
              <w:spacing w:line="240" w:lineRule="auto"/>
              <w:rPr>
                <w:rFonts w:ascii="Times New Roman" w:eastAsia="Times New Roman" w:hAnsi="Times New Roman" w:cs="Times New Roman"/>
                <w:sz w:val="20"/>
                <w:szCs w:val="20"/>
              </w:rPr>
            </w:pPr>
          </w:p>
        </w:tc>
      </w:tr>
    </w:tbl>
    <w:p w:rsidR="009315A7" w:rsidRPr="009315A7" w:rsidRDefault="009315A7" w:rsidP="009315A7"/>
    <w:sectPr w:rsidR="009315A7" w:rsidRPr="009315A7" w:rsidSect="009C638F">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CB" w:rsidRDefault="006902CB" w:rsidP="00433068">
      <w:pPr>
        <w:spacing w:line="240" w:lineRule="auto"/>
      </w:pPr>
      <w:r>
        <w:separator/>
      </w:r>
    </w:p>
  </w:endnote>
  <w:endnote w:type="continuationSeparator" w:id="0">
    <w:p w:rsidR="006902CB" w:rsidRDefault="006902CB" w:rsidP="00433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CB" w:rsidRDefault="006902CB" w:rsidP="00433068">
      <w:pPr>
        <w:spacing w:line="240" w:lineRule="auto"/>
      </w:pPr>
      <w:r>
        <w:separator/>
      </w:r>
    </w:p>
  </w:footnote>
  <w:footnote w:type="continuationSeparator" w:id="0">
    <w:p w:rsidR="006902CB" w:rsidRDefault="006902CB" w:rsidP="004330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63" w:rsidRDefault="00C21863">
    <w:pPr>
      <w:pStyle w:val="Header"/>
    </w:pPr>
    <w:r>
      <w:tab/>
    </w:r>
    <w:r>
      <w:tab/>
    </w:r>
    <w:r>
      <w:fldChar w:fldCharType="begin"/>
    </w:r>
    <w:r>
      <w:instrText xml:space="preserve"> PAGE   \* MERGEFORMAT </w:instrText>
    </w:r>
    <w:r>
      <w:fldChar w:fldCharType="separate"/>
    </w:r>
    <w:r w:rsidR="00E648C0">
      <w:rPr>
        <w:noProof/>
      </w:rPr>
      <w:t>21</w:t>
    </w:r>
    <w:r>
      <w:rPr>
        <w:noProof/>
      </w:rPr>
      <w:fldChar w:fldCharType="end"/>
    </w:r>
  </w:p>
  <w:p w:rsidR="00433068" w:rsidRDefault="00433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8F" w:rsidRDefault="005830AF" w:rsidP="005830AF">
    <w:pPr>
      <w:pStyle w:val="Header"/>
      <w:tabs>
        <w:tab w:val="clear" w:pos="4680"/>
        <w:tab w:val="center" w:pos="9360"/>
      </w:tabs>
    </w:pPr>
    <w:r>
      <w:tab/>
    </w:r>
    <w:r w:rsidR="009C638F">
      <w:fldChar w:fldCharType="begin"/>
    </w:r>
    <w:r w:rsidR="009C638F">
      <w:instrText xml:space="preserve"> PAGE   \* MERGEFORMAT </w:instrText>
    </w:r>
    <w:r w:rsidR="009C638F">
      <w:fldChar w:fldCharType="separate"/>
    </w:r>
    <w:r w:rsidR="00C2367A">
      <w:rPr>
        <w:noProof/>
      </w:rPr>
      <w:t>1</w:t>
    </w:r>
    <w:r w:rsidR="009C638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6A92"/>
    <w:multiLevelType w:val="hybridMultilevel"/>
    <w:tmpl w:val="3F8E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D3A59"/>
    <w:multiLevelType w:val="hybridMultilevel"/>
    <w:tmpl w:val="42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31DFA"/>
    <w:multiLevelType w:val="hybridMultilevel"/>
    <w:tmpl w:val="763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F484C"/>
    <w:multiLevelType w:val="hybridMultilevel"/>
    <w:tmpl w:val="91D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57"/>
    <w:rsid w:val="00002137"/>
    <w:rsid w:val="00004196"/>
    <w:rsid w:val="00012D1F"/>
    <w:rsid w:val="00026193"/>
    <w:rsid w:val="000325E6"/>
    <w:rsid w:val="00033B5A"/>
    <w:rsid w:val="00034283"/>
    <w:rsid w:val="000343F9"/>
    <w:rsid w:val="000348EC"/>
    <w:rsid w:val="00036FC3"/>
    <w:rsid w:val="000433C6"/>
    <w:rsid w:val="00052506"/>
    <w:rsid w:val="00054E20"/>
    <w:rsid w:val="00056EF0"/>
    <w:rsid w:val="000577EF"/>
    <w:rsid w:val="00057EC8"/>
    <w:rsid w:val="000605AA"/>
    <w:rsid w:val="00065002"/>
    <w:rsid w:val="00065DE4"/>
    <w:rsid w:val="000725DA"/>
    <w:rsid w:val="000733D8"/>
    <w:rsid w:val="0008616D"/>
    <w:rsid w:val="00090A8B"/>
    <w:rsid w:val="000924A3"/>
    <w:rsid w:val="00092922"/>
    <w:rsid w:val="000946F5"/>
    <w:rsid w:val="00097B0A"/>
    <w:rsid w:val="000A0417"/>
    <w:rsid w:val="000A04D3"/>
    <w:rsid w:val="000A10FD"/>
    <w:rsid w:val="000B3B2E"/>
    <w:rsid w:val="000B5DA3"/>
    <w:rsid w:val="000B7153"/>
    <w:rsid w:val="000B784C"/>
    <w:rsid w:val="000C0544"/>
    <w:rsid w:val="000C117D"/>
    <w:rsid w:val="000C55F7"/>
    <w:rsid w:val="000C780F"/>
    <w:rsid w:val="000D0B0D"/>
    <w:rsid w:val="000D2FE5"/>
    <w:rsid w:val="000D5736"/>
    <w:rsid w:val="000D5CFF"/>
    <w:rsid w:val="000D5EDF"/>
    <w:rsid w:val="000D7C13"/>
    <w:rsid w:val="000E3929"/>
    <w:rsid w:val="000E6432"/>
    <w:rsid w:val="000F444F"/>
    <w:rsid w:val="000F5FE7"/>
    <w:rsid w:val="001075A0"/>
    <w:rsid w:val="00107A50"/>
    <w:rsid w:val="001103FF"/>
    <w:rsid w:val="0011227E"/>
    <w:rsid w:val="001123F7"/>
    <w:rsid w:val="001312E9"/>
    <w:rsid w:val="001453DC"/>
    <w:rsid w:val="00145ACA"/>
    <w:rsid w:val="00151CF9"/>
    <w:rsid w:val="001533A7"/>
    <w:rsid w:val="00160A0D"/>
    <w:rsid w:val="00160DB2"/>
    <w:rsid w:val="001810E0"/>
    <w:rsid w:val="001860BA"/>
    <w:rsid w:val="001A2658"/>
    <w:rsid w:val="001A2D67"/>
    <w:rsid w:val="001B0535"/>
    <w:rsid w:val="001B0818"/>
    <w:rsid w:val="001C13CA"/>
    <w:rsid w:val="001C204B"/>
    <w:rsid w:val="001C5047"/>
    <w:rsid w:val="001D160F"/>
    <w:rsid w:val="001D1C01"/>
    <w:rsid w:val="001D5142"/>
    <w:rsid w:val="001E514A"/>
    <w:rsid w:val="001E5902"/>
    <w:rsid w:val="001E6966"/>
    <w:rsid w:val="001F2B8F"/>
    <w:rsid w:val="00202057"/>
    <w:rsid w:val="00204371"/>
    <w:rsid w:val="00206584"/>
    <w:rsid w:val="0020680C"/>
    <w:rsid w:val="002070EA"/>
    <w:rsid w:val="00211056"/>
    <w:rsid w:val="00212ECB"/>
    <w:rsid w:val="00214E5F"/>
    <w:rsid w:val="002160BC"/>
    <w:rsid w:val="00216161"/>
    <w:rsid w:val="00221394"/>
    <w:rsid w:val="002226C2"/>
    <w:rsid w:val="002270AB"/>
    <w:rsid w:val="00232179"/>
    <w:rsid w:val="002407AC"/>
    <w:rsid w:val="00254764"/>
    <w:rsid w:val="00256723"/>
    <w:rsid w:val="002573BD"/>
    <w:rsid w:val="002579B7"/>
    <w:rsid w:val="0026127D"/>
    <w:rsid w:val="002632F2"/>
    <w:rsid w:val="0027043D"/>
    <w:rsid w:val="00274AA0"/>
    <w:rsid w:val="002833ED"/>
    <w:rsid w:val="00283F05"/>
    <w:rsid w:val="002928AC"/>
    <w:rsid w:val="00292A92"/>
    <w:rsid w:val="00294E1F"/>
    <w:rsid w:val="00295560"/>
    <w:rsid w:val="002B3D2A"/>
    <w:rsid w:val="002C477B"/>
    <w:rsid w:val="002C78A6"/>
    <w:rsid w:val="002C7C67"/>
    <w:rsid w:val="002D11A7"/>
    <w:rsid w:val="002D1527"/>
    <w:rsid w:val="002D2117"/>
    <w:rsid w:val="002E3BFE"/>
    <w:rsid w:val="002E5571"/>
    <w:rsid w:val="002E55EF"/>
    <w:rsid w:val="002F4A45"/>
    <w:rsid w:val="002F6C4B"/>
    <w:rsid w:val="002F74F8"/>
    <w:rsid w:val="00306C4B"/>
    <w:rsid w:val="00310349"/>
    <w:rsid w:val="003103DB"/>
    <w:rsid w:val="00320293"/>
    <w:rsid w:val="00320518"/>
    <w:rsid w:val="00323549"/>
    <w:rsid w:val="00325DEE"/>
    <w:rsid w:val="00327998"/>
    <w:rsid w:val="0033428B"/>
    <w:rsid w:val="003406F4"/>
    <w:rsid w:val="00342EAD"/>
    <w:rsid w:val="00343C0E"/>
    <w:rsid w:val="00353223"/>
    <w:rsid w:val="003578C6"/>
    <w:rsid w:val="00360166"/>
    <w:rsid w:val="00364B3B"/>
    <w:rsid w:val="00365426"/>
    <w:rsid w:val="00365430"/>
    <w:rsid w:val="00367405"/>
    <w:rsid w:val="003720B7"/>
    <w:rsid w:val="00377CFB"/>
    <w:rsid w:val="00391F68"/>
    <w:rsid w:val="003A0978"/>
    <w:rsid w:val="003A0F3B"/>
    <w:rsid w:val="003B2EB4"/>
    <w:rsid w:val="003B5DC1"/>
    <w:rsid w:val="003B6F5A"/>
    <w:rsid w:val="003C21ED"/>
    <w:rsid w:val="003C35CD"/>
    <w:rsid w:val="003C59C6"/>
    <w:rsid w:val="003D526D"/>
    <w:rsid w:val="003D70E3"/>
    <w:rsid w:val="003E3092"/>
    <w:rsid w:val="003E405B"/>
    <w:rsid w:val="003E5B60"/>
    <w:rsid w:val="003E7DA4"/>
    <w:rsid w:val="003F266C"/>
    <w:rsid w:val="004001A5"/>
    <w:rsid w:val="00402FE3"/>
    <w:rsid w:val="00403C17"/>
    <w:rsid w:val="00405EAF"/>
    <w:rsid w:val="00407748"/>
    <w:rsid w:val="00407B20"/>
    <w:rsid w:val="00411BBC"/>
    <w:rsid w:val="00416536"/>
    <w:rsid w:val="00422A3F"/>
    <w:rsid w:val="004236D0"/>
    <w:rsid w:val="0042373A"/>
    <w:rsid w:val="00427680"/>
    <w:rsid w:val="00430B7A"/>
    <w:rsid w:val="00433068"/>
    <w:rsid w:val="004332C0"/>
    <w:rsid w:val="00435285"/>
    <w:rsid w:val="004365A3"/>
    <w:rsid w:val="00444039"/>
    <w:rsid w:val="00445260"/>
    <w:rsid w:val="0044563A"/>
    <w:rsid w:val="004473FC"/>
    <w:rsid w:val="00447AF2"/>
    <w:rsid w:val="004526FA"/>
    <w:rsid w:val="004555C3"/>
    <w:rsid w:val="0046160D"/>
    <w:rsid w:val="004619C5"/>
    <w:rsid w:val="00463A38"/>
    <w:rsid w:val="004642D4"/>
    <w:rsid w:val="00473E03"/>
    <w:rsid w:val="00477141"/>
    <w:rsid w:val="00482441"/>
    <w:rsid w:val="00495F00"/>
    <w:rsid w:val="00495F13"/>
    <w:rsid w:val="0049627C"/>
    <w:rsid w:val="00496C59"/>
    <w:rsid w:val="004A14CF"/>
    <w:rsid w:val="004A512F"/>
    <w:rsid w:val="004B373E"/>
    <w:rsid w:val="004B7506"/>
    <w:rsid w:val="004C48A2"/>
    <w:rsid w:val="004C6CA2"/>
    <w:rsid w:val="004D0B38"/>
    <w:rsid w:val="004D206E"/>
    <w:rsid w:val="004E33D2"/>
    <w:rsid w:val="004E4621"/>
    <w:rsid w:val="004E4C48"/>
    <w:rsid w:val="004E5E57"/>
    <w:rsid w:val="004E76CA"/>
    <w:rsid w:val="004F2931"/>
    <w:rsid w:val="004F4923"/>
    <w:rsid w:val="00505ACA"/>
    <w:rsid w:val="005063A2"/>
    <w:rsid w:val="00512914"/>
    <w:rsid w:val="00514619"/>
    <w:rsid w:val="00515A68"/>
    <w:rsid w:val="00515B2F"/>
    <w:rsid w:val="00516DB9"/>
    <w:rsid w:val="0052507F"/>
    <w:rsid w:val="00525CD0"/>
    <w:rsid w:val="00533664"/>
    <w:rsid w:val="00534A53"/>
    <w:rsid w:val="00536A00"/>
    <w:rsid w:val="005406A6"/>
    <w:rsid w:val="005519D3"/>
    <w:rsid w:val="00553B37"/>
    <w:rsid w:val="0056423D"/>
    <w:rsid w:val="00572D8E"/>
    <w:rsid w:val="00574DC0"/>
    <w:rsid w:val="0057509E"/>
    <w:rsid w:val="00576DF5"/>
    <w:rsid w:val="0057734C"/>
    <w:rsid w:val="00580FCC"/>
    <w:rsid w:val="005830AF"/>
    <w:rsid w:val="00584EE0"/>
    <w:rsid w:val="00587D35"/>
    <w:rsid w:val="00587E49"/>
    <w:rsid w:val="0059149F"/>
    <w:rsid w:val="00591EC7"/>
    <w:rsid w:val="0059652C"/>
    <w:rsid w:val="00597639"/>
    <w:rsid w:val="005A49E3"/>
    <w:rsid w:val="005A5AD4"/>
    <w:rsid w:val="005B120D"/>
    <w:rsid w:val="005B2342"/>
    <w:rsid w:val="005B4DE1"/>
    <w:rsid w:val="005B7235"/>
    <w:rsid w:val="005C023F"/>
    <w:rsid w:val="005C1804"/>
    <w:rsid w:val="005C787F"/>
    <w:rsid w:val="005D75D8"/>
    <w:rsid w:val="005D7A26"/>
    <w:rsid w:val="005E18A7"/>
    <w:rsid w:val="005E1F21"/>
    <w:rsid w:val="005E4075"/>
    <w:rsid w:val="005E5BBD"/>
    <w:rsid w:val="005E5E0F"/>
    <w:rsid w:val="005E60F0"/>
    <w:rsid w:val="005F5345"/>
    <w:rsid w:val="005F725C"/>
    <w:rsid w:val="005F7297"/>
    <w:rsid w:val="00604570"/>
    <w:rsid w:val="00610883"/>
    <w:rsid w:val="00611ADA"/>
    <w:rsid w:val="0061248B"/>
    <w:rsid w:val="006154F7"/>
    <w:rsid w:val="006228B4"/>
    <w:rsid w:val="00623EAD"/>
    <w:rsid w:val="00627BCB"/>
    <w:rsid w:val="0064249D"/>
    <w:rsid w:val="0064266B"/>
    <w:rsid w:val="00642A0B"/>
    <w:rsid w:val="0065159A"/>
    <w:rsid w:val="00654B56"/>
    <w:rsid w:val="00657334"/>
    <w:rsid w:val="0066433C"/>
    <w:rsid w:val="0066769F"/>
    <w:rsid w:val="00673CB6"/>
    <w:rsid w:val="006759ED"/>
    <w:rsid w:val="00677445"/>
    <w:rsid w:val="006817BE"/>
    <w:rsid w:val="006831D2"/>
    <w:rsid w:val="006902CB"/>
    <w:rsid w:val="00690423"/>
    <w:rsid w:val="006973B2"/>
    <w:rsid w:val="006A0A3B"/>
    <w:rsid w:val="006D19BD"/>
    <w:rsid w:val="006D321B"/>
    <w:rsid w:val="006D4059"/>
    <w:rsid w:val="006D60AB"/>
    <w:rsid w:val="006E16F3"/>
    <w:rsid w:val="006F121D"/>
    <w:rsid w:val="006F4219"/>
    <w:rsid w:val="006F4582"/>
    <w:rsid w:val="006F607E"/>
    <w:rsid w:val="006F645F"/>
    <w:rsid w:val="006F72AF"/>
    <w:rsid w:val="00702481"/>
    <w:rsid w:val="0070377B"/>
    <w:rsid w:val="00707616"/>
    <w:rsid w:val="0071310C"/>
    <w:rsid w:val="00715C0D"/>
    <w:rsid w:val="007236D7"/>
    <w:rsid w:val="007246C4"/>
    <w:rsid w:val="00726709"/>
    <w:rsid w:val="007324F3"/>
    <w:rsid w:val="0074277B"/>
    <w:rsid w:val="00745720"/>
    <w:rsid w:val="00745BF3"/>
    <w:rsid w:val="00746981"/>
    <w:rsid w:val="007520A4"/>
    <w:rsid w:val="00765F3C"/>
    <w:rsid w:val="007660D3"/>
    <w:rsid w:val="007774B7"/>
    <w:rsid w:val="007817C6"/>
    <w:rsid w:val="0078344C"/>
    <w:rsid w:val="007848F1"/>
    <w:rsid w:val="0078623E"/>
    <w:rsid w:val="00787D9E"/>
    <w:rsid w:val="00792640"/>
    <w:rsid w:val="00792BA7"/>
    <w:rsid w:val="00793609"/>
    <w:rsid w:val="007A2BD5"/>
    <w:rsid w:val="007A520C"/>
    <w:rsid w:val="007B0719"/>
    <w:rsid w:val="007C1069"/>
    <w:rsid w:val="007C4AF1"/>
    <w:rsid w:val="007C6D96"/>
    <w:rsid w:val="007D2227"/>
    <w:rsid w:val="007D5151"/>
    <w:rsid w:val="007D670C"/>
    <w:rsid w:val="007D69FD"/>
    <w:rsid w:val="007E1F3D"/>
    <w:rsid w:val="007E618D"/>
    <w:rsid w:val="007F07D2"/>
    <w:rsid w:val="007F1EBC"/>
    <w:rsid w:val="007F5ECF"/>
    <w:rsid w:val="008000B7"/>
    <w:rsid w:val="008076E7"/>
    <w:rsid w:val="008123A9"/>
    <w:rsid w:val="008138F5"/>
    <w:rsid w:val="00817087"/>
    <w:rsid w:val="008201BE"/>
    <w:rsid w:val="00823441"/>
    <w:rsid w:val="00827911"/>
    <w:rsid w:val="008318FA"/>
    <w:rsid w:val="00833D4B"/>
    <w:rsid w:val="00836F28"/>
    <w:rsid w:val="008403BB"/>
    <w:rsid w:val="008419F6"/>
    <w:rsid w:val="008447DB"/>
    <w:rsid w:val="00851ABC"/>
    <w:rsid w:val="00854ECB"/>
    <w:rsid w:val="00871E8E"/>
    <w:rsid w:val="00886108"/>
    <w:rsid w:val="00887ADF"/>
    <w:rsid w:val="0089725C"/>
    <w:rsid w:val="008B74D5"/>
    <w:rsid w:val="008C1661"/>
    <w:rsid w:val="008D5F67"/>
    <w:rsid w:val="008E376E"/>
    <w:rsid w:val="008F0F66"/>
    <w:rsid w:val="008F2CBF"/>
    <w:rsid w:val="008F2D70"/>
    <w:rsid w:val="008F5CF3"/>
    <w:rsid w:val="008F75E8"/>
    <w:rsid w:val="00901868"/>
    <w:rsid w:val="00903B0E"/>
    <w:rsid w:val="00906654"/>
    <w:rsid w:val="00907542"/>
    <w:rsid w:val="009144D5"/>
    <w:rsid w:val="009315A7"/>
    <w:rsid w:val="00941D55"/>
    <w:rsid w:val="00950EE7"/>
    <w:rsid w:val="00951219"/>
    <w:rsid w:val="009548BF"/>
    <w:rsid w:val="00956C09"/>
    <w:rsid w:val="009605D3"/>
    <w:rsid w:val="00964E44"/>
    <w:rsid w:val="00965B8D"/>
    <w:rsid w:val="009768F4"/>
    <w:rsid w:val="00983076"/>
    <w:rsid w:val="00983781"/>
    <w:rsid w:val="00993D26"/>
    <w:rsid w:val="009940F8"/>
    <w:rsid w:val="009A294C"/>
    <w:rsid w:val="009B0335"/>
    <w:rsid w:val="009B0C0B"/>
    <w:rsid w:val="009B619A"/>
    <w:rsid w:val="009C0049"/>
    <w:rsid w:val="009C077B"/>
    <w:rsid w:val="009C0A92"/>
    <w:rsid w:val="009C55F0"/>
    <w:rsid w:val="009C638F"/>
    <w:rsid w:val="009D1BB1"/>
    <w:rsid w:val="009E5655"/>
    <w:rsid w:val="009F1012"/>
    <w:rsid w:val="009F538A"/>
    <w:rsid w:val="00A00A5F"/>
    <w:rsid w:val="00A03114"/>
    <w:rsid w:val="00A06761"/>
    <w:rsid w:val="00A11267"/>
    <w:rsid w:val="00A135CA"/>
    <w:rsid w:val="00A16860"/>
    <w:rsid w:val="00A21F24"/>
    <w:rsid w:val="00A231D3"/>
    <w:rsid w:val="00A250CD"/>
    <w:rsid w:val="00A25966"/>
    <w:rsid w:val="00A278F2"/>
    <w:rsid w:val="00A30493"/>
    <w:rsid w:val="00A3156C"/>
    <w:rsid w:val="00A3267D"/>
    <w:rsid w:val="00A44672"/>
    <w:rsid w:val="00A4700B"/>
    <w:rsid w:val="00A47208"/>
    <w:rsid w:val="00A50AFC"/>
    <w:rsid w:val="00A54551"/>
    <w:rsid w:val="00A616BF"/>
    <w:rsid w:val="00A64653"/>
    <w:rsid w:val="00A707B8"/>
    <w:rsid w:val="00A84D00"/>
    <w:rsid w:val="00A865E2"/>
    <w:rsid w:val="00AA1083"/>
    <w:rsid w:val="00AB25EA"/>
    <w:rsid w:val="00AB274A"/>
    <w:rsid w:val="00AC24F4"/>
    <w:rsid w:val="00AC3B03"/>
    <w:rsid w:val="00AC4663"/>
    <w:rsid w:val="00AD56E0"/>
    <w:rsid w:val="00AD574F"/>
    <w:rsid w:val="00AD66ED"/>
    <w:rsid w:val="00AE012D"/>
    <w:rsid w:val="00AF58F6"/>
    <w:rsid w:val="00B0387F"/>
    <w:rsid w:val="00B10F48"/>
    <w:rsid w:val="00B13191"/>
    <w:rsid w:val="00B2338A"/>
    <w:rsid w:val="00B348DA"/>
    <w:rsid w:val="00B34CF2"/>
    <w:rsid w:val="00B352E4"/>
    <w:rsid w:val="00B4079A"/>
    <w:rsid w:val="00B40CC4"/>
    <w:rsid w:val="00B61C6F"/>
    <w:rsid w:val="00B70D6B"/>
    <w:rsid w:val="00B7385C"/>
    <w:rsid w:val="00B831B3"/>
    <w:rsid w:val="00B8323F"/>
    <w:rsid w:val="00B84B75"/>
    <w:rsid w:val="00B85767"/>
    <w:rsid w:val="00B86FF6"/>
    <w:rsid w:val="00B9210F"/>
    <w:rsid w:val="00B94AA6"/>
    <w:rsid w:val="00B97692"/>
    <w:rsid w:val="00BA1E93"/>
    <w:rsid w:val="00BA3C90"/>
    <w:rsid w:val="00BA587F"/>
    <w:rsid w:val="00BA60EC"/>
    <w:rsid w:val="00BB3BC5"/>
    <w:rsid w:val="00BB4BE3"/>
    <w:rsid w:val="00BB56B2"/>
    <w:rsid w:val="00BC13E6"/>
    <w:rsid w:val="00BC4303"/>
    <w:rsid w:val="00BC7B12"/>
    <w:rsid w:val="00BD264F"/>
    <w:rsid w:val="00BD4BF5"/>
    <w:rsid w:val="00BD5473"/>
    <w:rsid w:val="00BE0492"/>
    <w:rsid w:val="00BE7222"/>
    <w:rsid w:val="00BF01D4"/>
    <w:rsid w:val="00BF48D4"/>
    <w:rsid w:val="00BF73AD"/>
    <w:rsid w:val="00C02ADA"/>
    <w:rsid w:val="00C03800"/>
    <w:rsid w:val="00C06160"/>
    <w:rsid w:val="00C10D6A"/>
    <w:rsid w:val="00C122C7"/>
    <w:rsid w:val="00C1305B"/>
    <w:rsid w:val="00C13A2F"/>
    <w:rsid w:val="00C1510C"/>
    <w:rsid w:val="00C17FDC"/>
    <w:rsid w:val="00C216D6"/>
    <w:rsid w:val="00C21863"/>
    <w:rsid w:val="00C2367A"/>
    <w:rsid w:val="00C257C4"/>
    <w:rsid w:val="00C27503"/>
    <w:rsid w:val="00C3558D"/>
    <w:rsid w:val="00C40F8E"/>
    <w:rsid w:val="00C4430E"/>
    <w:rsid w:val="00C449E7"/>
    <w:rsid w:val="00C579CC"/>
    <w:rsid w:val="00C626E1"/>
    <w:rsid w:val="00C62E7E"/>
    <w:rsid w:val="00C72486"/>
    <w:rsid w:val="00C77753"/>
    <w:rsid w:val="00C840FE"/>
    <w:rsid w:val="00C86B7C"/>
    <w:rsid w:val="00C91A52"/>
    <w:rsid w:val="00CA6C6D"/>
    <w:rsid w:val="00CB2C07"/>
    <w:rsid w:val="00CB3D5E"/>
    <w:rsid w:val="00CB6B5E"/>
    <w:rsid w:val="00CB6FD4"/>
    <w:rsid w:val="00CC32B0"/>
    <w:rsid w:val="00CC385F"/>
    <w:rsid w:val="00CC460B"/>
    <w:rsid w:val="00CC553C"/>
    <w:rsid w:val="00CC66FD"/>
    <w:rsid w:val="00CD02A4"/>
    <w:rsid w:val="00CD1A4D"/>
    <w:rsid w:val="00CD3713"/>
    <w:rsid w:val="00CD436E"/>
    <w:rsid w:val="00CD77FE"/>
    <w:rsid w:val="00D00A98"/>
    <w:rsid w:val="00D011D1"/>
    <w:rsid w:val="00D01E06"/>
    <w:rsid w:val="00D067B2"/>
    <w:rsid w:val="00D17F1A"/>
    <w:rsid w:val="00D2335E"/>
    <w:rsid w:val="00D23D9B"/>
    <w:rsid w:val="00D23F9A"/>
    <w:rsid w:val="00D27677"/>
    <w:rsid w:val="00D40B02"/>
    <w:rsid w:val="00D4292A"/>
    <w:rsid w:val="00D47354"/>
    <w:rsid w:val="00D52AA1"/>
    <w:rsid w:val="00D53D2D"/>
    <w:rsid w:val="00D56005"/>
    <w:rsid w:val="00D57024"/>
    <w:rsid w:val="00D61049"/>
    <w:rsid w:val="00D73F6B"/>
    <w:rsid w:val="00D80CE3"/>
    <w:rsid w:val="00D82787"/>
    <w:rsid w:val="00D93D35"/>
    <w:rsid w:val="00D949A1"/>
    <w:rsid w:val="00D96890"/>
    <w:rsid w:val="00DA1CA1"/>
    <w:rsid w:val="00DA310C"/>
    <w:rsid w:val="00DB13FB"/>
    <w:rsid w:val="00DB57E6"/>
    <w:rsid w:val="00DB59BD"/>
    <w:rsid w:val="00DB7AFD"/>
    <w:rsid w:val="00DC5BEE"/>
    <w:rsid w:val="00DD30D0"/>
    <w:rsid w:val="00DD638C"/>
    <w:rsid w:val="00DE6C60"/>
    <w:rsid w:val="00DF5A53"/>
    <w:rsid w:val="00DF6EE1"/>
    <w:rsid w:val="00E03265"/>
    <w:rsid w:val="00E03469"/>
    <w:rsid w:val="00E05BC4"/>
    <w:rsid w:val="00E116F7"/>
    <w:rsid w:val="00E224D2"/>
    <w:rsid w:val="00E33A85"/>
    <w:rsid w:val="00E37309"/>
    <w:rsid w:val="00E412D3"/>
    <w:rsid w:val="00E45763"/>
    <w:rsid w:val="00E47598"/>
    <w:rsid w:val="00E47D72"/>
    <w:rsid w:val="00E501A6"/>
    <w:rsid w:val="00E51201"/>
    <w:rsid w:val="00E53FBB"/>
    <w:rsid w:val="00E648C0"/>
    <w:rsid w:val="00E65FFF"/>
    <w:rsid w:val="00E71744"/>
    <w:rsid w:val="00E732E9"/>
    <w:rsid w:val="00E74634"/>
    <w:rsid w:val="00E74B70"/>
    <w:rsid w:val="00E776E1"/>
    <w:rsid w:val="00E77CA9"/>
    <w:rsid w:val="00E808AC"/>
    <w:rsid w:val="00E92EA1"/>
    <w:rsid w:val="00E93FAF"/>
    <w:rsid w:val="00EA7509"/>
    <w:rsid w:val="00EA7885"/>
    <w:rsid w:val="00EC265B"/>
    <w:rsid w:val="00EC356B"/>
    <w:rsid w:val="00EC6181"/>
    <w:rsid w:val="00EC649A"/>
    <w:rsid w:val="00ED0D52"/>
    <w:rsid w:val="00ED2388"/>
    <w:rsid w:val="00ED3352"/>
    <w:rsid w:val="00ED6CB8"/>
    <w:rsid w:val="00EF0E92"/>
    <w:rsid w:val="00EF1DFC"/>
    <w:rsid w:val="00EF4D90"/>
    <w:rsid w:val="00F01DA3"/>
    <w:rsid w:val="00F045BE"/>
    <w:rsid w:val="00F127DB"/>
    <w:rsid w:val="00F13D69"/>
    <w:rsid w:val="00F15085"/>
    <w:rsid w:val="00F162EF"/>
    <w:rsid w:val="00F23669"/>
    <w:rsid w:val="00F2484F"/>
    <w:rsid w:val="00F25DDB"/>
    <w:rsid w:val="00F26BEB"/>
    <w:rsid w:val="00F3229F"/>
    <w:rsid w:val="00F365AD"/>
    <w:rsid w:val="00F37059"/>
    <w:rsid w:val="00F4359E"/>
    <w:rsid w:val="00F45A24"/>
    <w:rsid w:val="00F547BF"/>
    <w:rsid w:val="00F60AC6"/>
    <w:rsid w:val="00F65669"/>
    <w:rsid w:val="00F66FA3"/>
    <w:rsid w:val="00F80039"/>
    <w:rsid w:val="00F81B95"/>
    <w:rsid w:val="00F85B16"/>
    <w:rsid w:val="00F8790B"/>
    <w:rsid w:val="00F910EE"/>
    <w:rsid w:val="00F91983"/>
    <w:rsid w:val="00F932C2"/>
    <w:rsid w:val="00FA11C7"/>
    <w:rsid w:val="00FB25E2"/>
    <w:rsid w:val="00FB7E0A"/>
    <w:rsid w:val="00FC0AF0"/>
    <w:rsid w:val="00FC5467"/>
    <w:rsid w:val="00FC60BF"/>
    <w:rsid w:val="00FD00AB"/>
    <w:rsid w:val="00FE586F"/>
    <w:rsid w:val="00FE7708"/>
    <w:rsid w:val="00FF0613"/>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8380A"/>
  <w15:chartTrackingRefBased/>
  <w15:docId w15:val="{969078F9-A778-4398-BD10-0FF79E20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24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6FD1"/>
    <w:pPr>
      <w:spacing w:before="0"/>
    </w:pPr>
    <w:rPr>
      <w:rFonts w:ascii="Arial" w:hAnsi="Arial"/>
      <w:sz w:val="22"/>
    </w:rPr>
  </w:style>
  <w:style w:type="paragraph" w:styleId="Heading1">
    <w:name w:val="heading 1"/>
    <w:basedOn w:val="Normal"/>
    <w:next w:val="Normal"/>
    <w:link w:val="Heading1Char"/>
    <w:uiPriority w:val="9"/>
    <w:qFormat/>
    <w:rsid w:val="005B7235"/>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6433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C4303"/>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5E57"/>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068"/>
    <w:pPr>
      <w:tabs>
        <w:tab w:val="center" w:pos="4680"/>
        <w:tab w:val="right" w:pos="9360"/>
      </w:tabs>
      <w:spacing w:line="240" w:lineRule="auto"/>
    </w:pPr>
  </w:style>
  <w:style w:type="character" w:customStyle="1" w:styleId="HeaderChar">
    <w:name w:val="Header Char"/>
    <w:basedOn w:val="DefaultParagraphFont"/>
    <w:link w:val="Header"/>
    <w:uiPriority w:val="99"/>
    <w:rsid w:val="00433068"/>
  </w:style>
  <w:style w:type="paragraph" w:styleId="Footer">
    <w:name w:val="footer"/>
    <w:basedOn w:val="Normal"/>
    <w:link w:val="FooterChar"/>
    <w:uiPriority w:val="99"/>
    <w:unhideWhenUsed/>
    <w:rsid w:val="00433068"/>
    <w:pPr>
      <w:tabs>
        <w:tab w:val="center" w:pos="4680"/>
        <w:tab w:val="right" w:pos="9360"/>
      </w:tabs>
      <w:spacing w:line="240" w:lineRule="auto"/>
    </w:pPr>
  </w:style>
  <w:style w:type="character" w:customStyle="1" w:styleId="FooterChar">
    <w:name w:val="Footer Char"/>
    <w:basedOn w:val="DefaultParagraphFont"/>
    <w:link w:val="Footer"/>
    <w:uiPriority w:val="99"/>
    <w:rsid w:val="00433068"/>
  </w:style>
  <w:style w:type="character" w:customStyle="1" w:styleId="Heading1Char">
    <w:name w:val="Heading 1 Char"/>
    <w:basedOn w:val="DefaultParagraphFont"/>
    <w:link w:val="Heading1"/>
    <w:uiPriority w:val="9"/>
    <w:rsid w:val="005B7235"/>
    <w:rPr>
      <w:rFonts w:eastAsiaTheme="majorEastAsia" w:cstheme="majorBidi"/>
      <w:b/>
      <w:szCs w:val="32"/>
    </w:rPr>
  </w:style>
  <w:style w:type="paragraph" w:styleId="NoSpacing">
    <w:name w:val="No Spacing"/>
    <w:uiPriority w:val="1"/>
    <w:qFormat/>
    <w:rsid w:val="005B7235"/>
    <w:pPr>
      <w:spacing w:before="0"/>
      <w:jc w:val="center"/>
    </w:pPr>
  </w:style>
  <w:style w:type="character" w:customStyle="1" w:styleId="Heading2Char">
    <w:name w:val="Heading 2 Char"/>
    <w:basedOn w:val="DefaultParagraphFont"/>
    <w:link w:val="Heading2"/>
    <w:uiPriority w:val="9"/>
    <w:rsid w:val="0066433C"/>
    <w:rPr>
      <w:rFonts w:ascii="Arial" w:eastAsiaTheme="majorEastAsia" w:hAnsi="Arial" w:cstheme="majorBidi"/>
      <w:b/>
      <w:szCs w:val="26"/>
    </w:rPr>
  </w:style>
  <w:style w:type="character" w:customStyle="1" w:styleId="Heading3Char">
    <w:name w:val="Heading 3 Char"/>
    <w:basedOn w:val="DefaultParagraphFont"/>
    <w:link w:val="Heading3"/>
    <w:uiPriority w:val="9"/>
    <w:rsid w:val="00BC4303"/>
    <w:rPr>
      <w:rFonts w:ascii="Arial" w:eastAsiaTheme="majorEastAsia" w:hAnsi="Arial" w:cstheme="majorBidi"/>
      <w:b/>
      <w:sz w:val="22"/>
      <w:szCs w:val="24"/>
    </w:rPr>
  </w:style>
  <w:style w:type="character" w:customStyle="1" w:styleId="Heading4Char">
    <w:name w:val="Heading 4 Char"/>
    <w:basedOn w:val="DefaultParagraphFont"/>
    <w:link w:val="Heading4"/>
    <w:uiPriority w:val="9"/>
    <w:rsid w:val="004E5E57"/>
    <w:rPr>
      <w:rFonts w:ascii="Arial" w:eastAsiaTheme="majorEastAsia" w:hAnsi="Arial" w:cstheme="majorBidi"/>
      <w:i/>
      <w:iCs/>
      <w:sz w:val="22"/>
    </w:rPr>
  </w:style>
  <w:style w:type="paragraph" w:styleId="ListParagraph">
    <w:name w:val="List Paragraph"/>
    <w:basedOn w:val="Normal"/>
    <w:uiPriority w:val="34"/>
    <w:qFormat/>
    <w:rsid w:val="009B0335"/>
    <w:pPr>
      <w:ind w:left="720"/>
      <w:contextualSpacing/>
    </w:pPr>
  </w:style>
  <w:style w:type="paragraph" w:styleId="TOCHeading">
    <w:name w:val="TOC Heading"/>
    <w:basedOn w:val="Heading1"/>
    <w:next w:val="Normal"/>
    <w:uiPriority w:val="39"/>
    <w:unhideWhenUsed/>
    <w:qFormat/>
    <w:rsid w:val="00707616"/>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07616"/>
    <w:pPr>
      <w:spacing w:after="100"/>
    </w:pPr>
  </w:style>
  <w:style w:type="paragraph" w:styleId="TOC2">
    <w:name w:val="toc 2"/>
    <w:basedOn w:val="Normal"/>
    <w:next w:val="Normal"/>
    <w:autoRedefine/>
    <w:uiPriority w:val="39"/>
    <w:unhideWhenUsed/>
    <w:rsid w:val="00707616"/>
    <w:pPr>
      <w:spacing w:after="100"/>
      <w:ind w:left="220"/>
    </w:pPr>
  </w:style>
  <w:style w:type="paragraph" w:styleId="TOC3">
    <w:name w:val="toc 3"/>
    <w:basedOn w:val="Normal"/>
    <w:next w:val="Normal"/>
    <w:autoRedefine/>
    <w:uiPriority w:val="39"/>
    <w:unhideWhenUsed/>
    <w:rsid w:val="00707616"/>
    <w:pPr>
      <w:spacing w:after="100"/>
      <w:ind w:left="440"/>
    </w:pPr>
  </w:style>
  <w:style w:type="character" w:styleId="Hyperlink">
    <w:name w:val="Hyperlink"/>
    <w:basedOn w:val="DefaultParagraphFont"/>
    <w:uiPriority w:val="99"/>
    <w:unhideWhenUsed/>
    <w:rsid w:val="00707616"/>
    <w:rPr>
      <w:color w:val="0563C1" w:themeColor="hyperlink"/>
      <w:u w:val="single"/>
    </w:rPr>
  </w:style>
  <w:style w:type="paragraph" w:styleId="Caption">
    <w:name w:val="caption"/>
    <w:basedOn w:val="Normal"/>
    <w:next w:val="Normal"/>
    <w:uiPriority w:val="35"/>
    <w:unhideWhenUsed/>
    <w:qFormat/>
    <w:rsid w:val="003103D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1E514A"/>
    <w:rPr>
      <w:color w:val="808080"/>
    </w:rPr>
  </w:style>
  <w:style w:type="character" w:customStyle="1" w:styleId="selectable">
    <w:name w:val="selectable"/>
    <w:basedOn w:val="DefaultParagraphFont"/>
    <w:rsid w:val="0089725C"/>
  </w:style>
  <w:style w:type="paragraph" w:styleId="TableofFigures">
    <w:name w:val="table of figures"/>
    <w:basedOn w:val="Normal"/>
    <w:next w:val="Normal"/>
    <w:uiPriority w:val="99"/>
    <w:unhideWhenUsed/>
    <w:rsid w:val="00C1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764">
      <w:bodyDiv w:val="1"/>
      <w:marLeft w:val="0"/>
      <w:marRight w:val="0"/>
      <w:marTop w:val="0"/>
      <w:marBottom w:val="0"/>
      <w:divBdr>
        <w:top w:val="none" w:sz="0" w:space="0" w:color="auto"/>
        <w:left w:val="none" w:sz="0" w:space="0" w:color="auto"/>
        <w:bottom w:val="none" w:sz="0" w:space="0" w:color="auto"/>
        <w:right w:val="none" w:sz="0" w:space="0" w:color="auto"/>
      </w:divBdr>
    </w:div>
    <w:div w:id="395054587">
      <w:bodyDiv w:val="1"/>
      <w:marLeft w:val="0"/>
      <w:marRight w:val="0"/>
      <w:marTop w:val="0"/>
      <w:marBottom w:val="0"/>
      <w:divBdr>
        <w:top w:val="none" w:sz="0" w:space="0" w:color="auto"/>
        <w:left w:val="none" w:sz="0" w:space="0" w:color="auto"/>
        <w:bottom w:val="none" w:sz="0" w:space="0" w:color="auto"/>
        <w:right w:val="none" w:sz="0" w:space="0" w:color="auto"/>
      </w:divBdr>
    </w:div>
    <w:div w:id="454564763">
      <w:bodyDiv w:val="1"/>
      <w:marLeft w:val="0"/>
      <w:marRight w:val="0"/>
      <w:marTop w:val="0"/>
      <w:marBottom w:val="0"/>
      <w:divBdr>
        <w:top w:val="none" w:sz="0" w:space="0" w:color="auto"/>
        <w:left w:val="none" w:sz="0" w:space="0" w:color="auto"/>
        <w:bottom w:val="none" w:sz="0" w:space="0" w:color="auto"/>
        <w:right w:val="none" w:sz="0" w:space="0" w:color="auto"/>
      </w:divBdr>
    </w:div>
    <w:div w:id="489559544">
      <w:bodyDiv w:val="1"/>
      <w:marLeft w:val="0"/>
      <w:marRight w:val="0"/>
      <w:marTop w:val="0"/>
      <w:marBottom w:val="0"/>
      <w:divBdr>
        <w:top w:val="none" w:sz="0" w:space="0" w:color="auto"/>
        <w:left w:val="none" w:sz="0" w:space="0" w:color="auto"/>
        <w:bottom w:val="none" w:sz="0" w:space="0" w:color="auto"/>
        <w:right w:val="none" w:sz="0" w:space="0" w:color="auto"/>
      </w:divBdr>
    </w:div>
    <w:div w:id="613025766">
      <w:bodyDiv w:val="1"/>
      <w:marLeft w:val="0"/>
      <w:marRight w:val="0"/>
      <w:marTop w:val="0"/>
      <w:marBottom w:val="0"/>
      <w:divBdr>
        <w:top w:val="none" w:sz="0" w:space="0" w:color="auto"/>
        <w:left w:val="none" w:sz="0" w:space="0" w:color="auto"/>
        <w:bottom w:val="none" w:sz="0" w:space="0" w:color="auto"/>
        <w:right w:val="none" w:sz="0" w:space="0" w:color="auto"/>
      </w:divBdr>
    </w:div>
    <w:div w:id="655384023">
      <w:bodyDiv w:val="1"/>
      <w:marLeft w:val="0"/>
      <w:marRight w:val="0"/>
      <w:marTop w:val="0"/>
      <w:marBottom w:val="0"/>
      <w:divBdr>
        <w:top w:val="none" w:sz="0" w:space="0" w:color="auto"/>
        <w:left w:val="none" w:sz="0" w:space="0" w:color="auto"/>
        <w:bottom w:val="none" w:sz="0" w:space="0" w:color="auto"/>
        <w:right w:val="none" w:sz="0" w:space="0" w:color="auto"/>
      </w:divBdr>
    </w:div>
    <w:div w:id="1126969283">
      <w:bodyDiv w:val="1"/>
      <w:marLeft w:val="0"/>
      <w:marRight w:val="0"/>
      <w:marTop w:val="0"/>
      <w:marBottom w:val="0"/>
      <w:divBdr>
        <w:top w:val="none" w:sz="0" w:space="0" w:color="auto"/>
        <w:left w:val="none" w:sz="0" w:space="0" w:color="auto"/>
        <w:bottom w:val="none" w:sz="0" w:space="0" w:color="auto"/>
        <w:right w:val="none" w:sz="0" w:space="0" w:color="auto"/>
      </w:divBdr>
    </w:div>
    <w:div w:id="1130827624">
      <w:bodyDiv w:val="1"/>
      <w:marLeft w:val="0"/>
      <w:marRight w:val="0"/>
      <w:marTop w:val="0"/>
      <w:marBottom w:val="0"/>
      <w:divBdr>
        <w:top w:val="none" w:sz="0" w:space="0" w:color="auto"/>
        <w:left w:val="none" w:sz="0" w:space="0" w:color="auto"/>
        <w:bottom w:val="none" w:sz="0" w:space="0" w:color="auto"/>
        <w:right w:val="none" w:sz="0" w:space="0" w:color="auto"/>
      </w:divBdr>
    </w:div>
    <w:div w:id="1349524136">
      <w:bodyDiv w:val="1"/>
      <w:marLeft w:val="0"/>
      <w:marRight w:val="0"/>
      <w:marTop w:val="0"/>
      <w:marBottom w:val="0"/>
      <w:divBdr>
        <w:top w:val="none" w:sz="0" w:space="0" w:color="auto"/>
        <w:left w:val="none" w:sz="0" w:space="0" w:color="auto"/>
        <w:bottom w:val="none" w:sz="0" w:space="0" w:color="auto"/>
        <w:right w:val="none" w:sz="0" w:space="0" w:color="auto"/>
      </w:divBdr>
    </w:div>
    <w:div w:id="1387218567">
      <w:bodyDiv w:val="1"/>
      <w:marLeft w:val="0"/>
      <w:marRight w:val="0"/>
      <w:marTop w:val="0"/>
      <w:marBottom w:val="0"/>
      <w:divBdr>
        <w:top w:val="none" w:sz="0" w:space="0" w:color="auto"/>
        <w:left w:val="none" w:sz="0" w:space="0" w:color="auto"/>
        <w:bottom w:val="none" w:sz="0" w:space="0" w:color="auto"/>
        <w:right w:val="none" w:sz="0" w:space="0" w:color="auto"/>
      </w:divBdr>
    </w:div>
    <w:div w:id="1807701120">
      <w:bodyDiv w:val="1"/>
      <w:marLeft w:val="0"/>
      <w:marRight w:val="0"/>
      <w:marTop w:val="0"/>
      <w:marBottom w:val="0"/>
      <w:divBdr>
        <w:top w:val="none" w:sz="0" w:space="0" w:color="auto"/>
        <w:left w:val="none" w:sz="0" w:space="0" w:color="auto"/>
        <w:bottom w:val="none" w:sz="0" w:space="0" w:color="auto"/>
        <w:right w:val="none" w:sz="0" w:space="0" w:color="auto"/>
      </w:divBdr>
    </w:div>
    <w:div w:id="1925407384">
      <w:bodyDiv w:val="1"/>
      <w:marLeft w:val="0"/>
      <w:marRight w:val="0"/>
      <w:marTop w:val="0"/>
      <w:marBottom w:val="0"/>
      <w:divBdr>
        <w:top w:val="none" w:sz="0" w:space="0" w:color="auto"/>
        <w:left w:val="none" w:sz="0" w:space="0" w:color="auto"/>
        <w:bottom w:val="none" w:sz="0" w:space="0" w:color="auto"/>
        <w:right w:val="none" w:sz="0" w:space="0" w:color="auto"/>
      </w:divBdr>
    </w:div>
    <w:div w:id="19374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I:\Private\Freelancing\2016\LiveWebTutor\1st-0804160826Fin\0804160826Fi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Current Ratio</a:t>
            </a:r>
          </a:p>
        </c:rich>
      </c:tx>
      <c:layout>
        <c:manualLayout>
          <c:xMode val="edge"/>
          <c:yMode val="edge"/>
          <c:x val="0.39006801778932071"/>
          <c:y val="3.658536585365853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Ratio'!$B$3</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Ratio'!$C$3:$G$3</c:f>
              <c:numCache>
                <c:formatCode>General</c:formatCode>
                <c:ptCount val="5"/>
                <c:pt idx="0">
                  <c:v>0.61</c:v>
                </c:pt>
                <c:pt idx="1">
                  <c:v>0.66</c:v>
                </c:pt>
                <c:pt idx="2">
                  <c:v>0.64</c:v>
                </c:pt>
                <c:pt idx="3">
                  <c:v>0.65</c:v>
                </c:pt>
                <c:pt idx="4">
                  <c:v>0.71</c:v>
                </c:pt>
              </c:numCache>
            </c:numRef>
          </c:val>
          <c:smooth val="0"/>
          <c:extLst>
            <c:ext xmlns:c16="http://schemas.microsoft.com/office/drawing/2014/chart" uri="{C3380CC4-5D6E-409C-BE32-E72D297353CC}">
              <c16:uniqueId val="{00000000-5CB8-478B-AE8B-6F7FDDBDA97C}"/>
            </c:ext>
          </c:extLst>
        </c:ser>
        <c:ser>
          <c:idx val="2"/>
          <c:order val="1"/>
          <c:tx>
            <c:strRef>
              <c:f>'Finanical Ratio'!$B$4</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Ratio'!$C$4:$G$4</c:f>
              <c:numCache>
                <c:formatCode>General</c:formatCode>
                <c:ptCount val="5"/>
                <c:pt idx="0">
                  <c:v>0.5</c:v>
                </c:pt>
                <c:pt idx="1">
                  <c:v>0.57999999999999996</c:v>
                </c:pt>
                <c:pt idx="2">
                  <c:v>0.56999999999999995</c:v>
                </c:pt>
                <c:pt idx="3">
                  <c:v>0.55000000000000004</c:v>
                </c:pt>
                <c:pt idx="4">
                  <c:v>0.51</c:v>
                </c:pt>
              </c:numCache>
            </c:numRef>
          </c:val>
          <c:smooth val="0"/>
          <c:extLst>
            <c:ext xmlns:c16="http://schemas.microsoft.com/office/drawing/2014/chart" uri="{C3380CC4-5D6E-409C-BE32-E72D297353CC}">
              <c16:uniqueId val="{00000001-5CB8-478B-AE8B-6F7FDDBDA97C}"/>
            </c:ext>
          </c:extLst>
        </c:ser>
        <c:ser>
          <c:idx val="3"/>
          <c:order val="2"/>
          <c:tx>
            <c:strRef>
              <c:f>'Finanical Ratio'!$B$5</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Ratio'!$C$5:$G$5</c:f>
              <c:numCache>
                <c:formatCode>General</c:formatCode>
                <c:ptCount val="5"/>
                <c:pt idx="0">
                  <c:v>0.64</c:v>
                </c:pt>
                <c:pt idx="1">
                  <c:v>0.61</c:v>
                </c:pt>
                <c:pt idx="2">
                  <c:v>0.65</c:v>
                </c:pt>
                <c:pt idx="3">
                  <c:v>0.59</c:v>
                </c:pt>
                <c:pt idx="4">
                  <c:v>0.66</c:v>
                </c:pt>
              </c:numCache>
            </c:numRef>
          </c:val>
          <c:smooth val="0"/>
          <c:extLst>
            <c:ext xmlns:c16="http://schemas.microsoft.com/office/drawing/2014/chart" uri="{C3380CC4-5D6E-409C-BE32-E72D297353CC}">
              <c16:uniqueId val="{00000002-5CB8-478B-AE8B-6F7FDDBDA97C}"/>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min val="0.45"/>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Return on Equity</a:t>
            </a:r>
          </a:p>
        </c:rich>
      </c:tx>
      <c:layout>
        <c:manualLayout>
          <c:xMode val="edge"/>
          <c:yMode val="edge"/>
          <c:x val="0.3487074700268869"/>
          <c:y val="4.06504065040650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Ratio'!$B$23</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Ratio'!$J$23:$N$23</c:f>
              <c:numCache>
                <c:formatCode>0.00%</c:formatCode>
                <c:ptCount val="5"/>
                <c:pt idx="0">
                  <c:v>0.1222</c:v>
                </c:pt>
                <c:pt idx="1">
                  <c:v>8.8999999999999996E-2</c:v>
                </c:pt>
                <c:pt idx="2">
                  <c:v>0.184</c:v>
                </c:pt>
                <c:pt idx="3">
                  <c:v>0.1774</c:v>
                </c:pt>
                <c:pt idx="4">
                  <c:v>0.1696</c:v>
                </c:pt>
              </c:numCache>
            </c:numRef>
          </c:val>
          <c:smooth val="0"/>
          <c:extLst>
            <c:ext xmlns:c16="http://schemas.microsoft.com/office/drawing/2014/chart" uri="{C3380CC4-5D6E-409C-BE32-E72D297353CC}">
              <c16:uniqueId val="{00000000-5493-4BA0-BB7F-1875DBA16F33}"/>
            </c:ext>
          </c:extLst>
        </c:ser>
        <c:ser>
          <c:idx val="2"/>
          <c:order val="1"/>
          <c:tx>
            <c:strRef>
              <c:f>'Finanical Ratio'!$B$24</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Ratio'!$J$24:$N$24</c:f>
              <c:numCache>
                <c:formatCode>0.00%</c:formatCode>
                <c:ptCount val="5"/>
                <c:pt idx="0">
                  <c:v>-4.8000000000000001E-2</c:v>
                </c:pt>
                <c:pt idx="1">
                  <c:v>0.12180000000000001</c:v>
                </c:pt>
                <c:pt idx="2">
                  <c:v>0.12759999999999999</c:v>
                </c:pt>
                <c:pt idx="3">
                  <c:v>0.12189999999999999</c:v>
                </c:pt>
                <c:pt idx="4">
                  <c:v>0.1263</c:v>
                </c:pt>
              </c:numCache>
            </c:numRef>
          </c:val>
          <c:smooth val="0"/>
          <c:extLst>
            <c:ext xmlns:c16="http://schemas.microsoft.com/office/drawing/2014/chart" uri="{C3380CC4-5D6E-409C-BE32-E72D297353CC}">
              <c16:uniqueId val="{00000001-5493-4BA0-BB7F-1875DBA16F33}"/>
            </c:ext>
          </c:extLst>
        </c:ser>
        <c:ser>
          <c:idx val="3"/>
          <c:order val="2"/>
          <c:tx>
            <c:strRef>
              <c:f>'Finanical Ratio'!$B$25</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Ratio'!$J$25:$N$25</c:f>
              <c:numCache>
                <c:formatCode>0.00%</c:formatCode>
                <c:ptCount val="5"/>
                <c:pt idx="0">
                  <c:v>0.12089999999999999</c:v>
                </c:pt>
                <c:pt idx="1">
                  <c:v>0.1042</c:v>
                </c:pt>
                <c:pt idx="2">
                  <c:v>0.10730000000000001</c:v>
                </c:pt>
                <c:pt idx="3">
                  <c:v>0.1232</c:v>
                </c:pt>
                <c:pt idx="4">
                  <c:v>0.12520000000000001</c:v>
                </c:pt>
              </c:numCache>
            </c:numRef>
          </c:val>
          <c:smooth val="0"/>
          <c:extLst>
            <c:ext xmlns:c16="http://schemas.microsoft.com/office/drawing/2014/chart" uri="{C3380CC4-5D6E-409C-BE32-E72D297353CC}">
              <c16:uniqueId val="{00000002-5493-4BA0-BB7F-1875DBA16F33}"/>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Employee</a:t>
            </a:r>
            <a:r>
              <a:rPr lang="en-US" baseline="0"/>
              <a:t> Base Growth Rate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'Non-Financial Ratios'!$I$4</c:f>
              <c:strCache>
                <c:ptCount val="1"/>
                <c:pt idx="0">
                  <c:v>Tesco PLC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'Non-Financial Ratios'!$J$3:$M$3</c:f>
              <c:numCache>
                <c:formatCode>General</c:formatCode>
                <c:ptCount val="4"/>
                <c:pt idx="0">
                  <c:v>2011</c:v>
                </c:pt>
                <c:pt idx="1">
                  <c:v>2012</c:v>
                </c:pt>
                <c:pt idx="2">
                  <c:v>2013</c:v>
                </c:pt>
                <c:pt idx="3">
                  <c:v>2014</c:v>
                </c:pt>
              </c:numCache>
            </c:numRef>
          </c:cat>
          <c:val>
            <c:numRef>
              <c:f>'Non-Financial Ratios'!$J$4:$M$4</c:f>
              <c:numCache>
                <c:formatCode>0.0%</c:formatCode>
                <c:ptCount val="4"/>
                <c:pt idx="0">
                  <c:v>4.3442043136151742E-2</c:v>
                </c:pt>
                <c:pt idx="1">
                  <c:v>5.1673999931945991E-2</c:v>
                </c:pt>
                <c:pt idx="2">
                  <c:v>-3.3390494062833675E-2</c:v>
                </c:pt>
                <c:pt idx="3">
                  <c:v>8.9938847763115781E-3</c:v>
                </c:pt>
              </c:numCache>
            </c:numRef>
          </c:val>
          <c:smooth val="0"/>
          <c:extLst>
            <c:ext xmlns:c16="http://schemas.microsoft.com/office/drawing/2014/chart" uri="{C3380CC4-5D6E-409C-BE32-E72D297353CC}">
              <c16:uniqueId val="{00000000-4AF2-48DF-86E4-2C97251D6EAF}"/>
            </c:ext>
          </c:extLst>
        </c:ser>
        <c:ser>
          <c:idx val="2"/>
          <c:order val="1"/>
          <c:tx>
            <c:strRef>
              <c:f>'Non-Financial Ratios'!$I$5</c:f>
              <c:strCache>
                <c:ptCount val="1"/>
                <c:pt idx="0">
                  <c:v>WM Morrison Supermarkets PLC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'Non-Financial Ratios'!$J$3:$M$3</c:f>
              <c:numCache>
                <c:formatCode>General</c:formatCode>
                <c:ptCount val="4"/>
                <c:pt idx="0">
                  <c:v>2011</c:v>
                </c:pt>
                <c:pt idx="1">
                  <c:v>2012</c:v>
                </c:pt>
                <c:pt idx="2">
                  <c:v>2013</c:v>
                </c:pt>
                <c:pt idx="3">
                  <c:v>2014</c:v>
                </c:pt>
              </c:numCache>
            </c:numRef>
          </c:cat>
          <c:val>
            <c:numRef>
              <c:f>'Non-Financial Ratios'!$J$5:$M$5</c:f>
              <c:numCache>
                <c:formatCode>0.0%</c:formatCode>
                <c:ptCount val="4"/>
                <c:pt idx="0">
                  <c:v>1.6573606310378519E-2</c:v>
                </c:pt>
                <c:pt idx="1">
                  <c:v>2.5653879686137859E-2</c:v>
                </c:pt>
                <c:pt idx="2">
                  <c:v>1.1337314320929881E-2</c:v>
                </c:pt>
                <c:pt idx="3">
                  <c:v>-4.8013784263666315E-3</c:v>
                </c:pt>
              </c:numCache>
            </c:numRef>
          </c:val>
          <c:smooth val="0"/>
          <c:extLst>
            <c:ext xmlns:c16="http://schemas.microsoft.com/office/drawing/2014/chart" uri="{C3380CC4-5D6E-409C-BE32-E72D297353CC}">
              <c16:uniqueId val="{00000001-4AF2-48DF-86E4-2C97251D6EAF}"/>
            </c:ext>
          </c:extLst>
        </c:ser>
        <c:ser>
          <c:idx val="3"/>
          <c:order val="2"/>
          <c:tx>
            <c:strRef>
              <c:f>'Non-Financial Ratios'!$I$6</c:f>
              <c:strCache>
                <c:ptCount val="1"/>
                <c:pt idx="0">
                  <c:v>J Sainsbury plc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'Non-Financial Ratios'!$J$3:$M$3</c:f>
              <c:numCache>
                <c:formatCode>General</c:formatCode>
                <c:ptCount val="4"/>
                <c:pt idx="0">
                  <c:v>2011</c:v>
                </c:pt>
                <c:pt idx="1">
                  <c:v>2012</c:v>
                </c:pt>
                <c:pt idx="2">
                  <c:v>2013</c:v>
                </c:pt>
                <c:pt idx="3">
                  <c:v>2014</c:v>
                </c:pt>
              </c:numCache>
            </c:numRef>
          </c:cat>
          <c:val>
            <c:numRef>
              <c:f>'Non-Financial Ratios'!$J$6:$M$6</c:f>
              <c:numCache>
                <c:formatCode>0.0%</c:formatCode>
                <c:ptCount val="4"/>
                <c:pt idx="0">
                  <c:v>-6.0723060174585619E-3</c:v>
                </c:pt>
                <c:pt idx="1">
                  <c:v>-6.1090976450546286E-3</c:v>
                </c:pt>
                <c:pt idx="2">
                  <c:v>-1.4344786166717305E-2</c:v>
                </c:pt>
                <c:pt idx="3">
                  <c:v>-1.6632334412104544E-2</c:v>
                </c:pt>
              </c:numCache>
            </c:numRef>
          </c:val>
          <c:smooth val="0"/>
          <c:extLst>
            <c:ext xmlns:c16="http://schemas.microsoft.com/office/drawing/2014/chart" uri="{C3380CC4-5D6E-409C-BE32-E72D297353CC}">
              <c16:uniqueId val="{00000002-4AF2-48DF-86E4-2C97251D6EAF}"/>
            </c:ext>
          </c:extLst>
        </c:ser>
        <c:dLbls>
          <c:showLegendKey val="0"/>
          <c:showVal val="0"/>
          <c:showCatName val="0"/>
          <c:showSerName val="0"/>
          <c:showPercent val="0"/>
          <c:showBubbleSize val="0"/>
        </c:dLbls>
        <c:marker val="1"/>
        <c:smooth val="0"/>
        <c:axId val="783825295"/>
        <c:axId val="783817807"/>
      </c:lineChart>
      <c:catAx>
        <c:axId val="7838252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817807"/>
        <c:crosses val="autoZero"/>
        <c:auto val="1"/>
        <c:lblAlgn val="ctr"/>
        <c:lblOffset val="100"/>
        <c:noMultiLvlLbl val="0"/>
      </c:catAx>
      <c:valAx>
        <c:axId val="7838178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825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Sales Area Base Growth Rate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'Non-Financial Ratios'!$I$10</c:f>
              <c:strCache>
                <c:ptCount val="1"/>
                <c:pt idx="0">
                  <c:v>Tesco PLC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'Non-Financial Ratios'!$J$3:$M$3</c:f>
              <c:numCache>
                <c:formatCode>General</c:formatCode>
                <c:ptCount val="4"/>
                <c:pt idx="0">
                  <c:v>2011</c:v>
                </c:pt>
                <c:pt idx="1">
                  <c:v>2012</c:v>
                </c:pt>
                <c:pt idx="2">
                  <c:v>2013</c:v>
                </c:pt>
                <c:pt idx="3">
                  <c:v>2014</c:v>
                </c:pt>
              </c:numCache>
            </c:numRef>
          </c:cat>
          <c:val>
            <c:numRef>
              <c:f>'Non-Financial Ratios'!$J$10:$M$10</c:f>
              <c:numCache>
                <c:formatCode>0.0%</c:formatCode>
                <c:ptCount val="4"/>
                <c:pt idx="0">
                  <c:v>8.3386712310067113E-2</c:v>
                </c:pt>
                <c:pt idx="1">
                  <c:v>7.1637653626952957E-2</c:v>
                </c:pt>
                <c:pt idx="2">
                  <c:v>-4.0908803125819682E-2</c:v>
                </c:pt>
                <c:pt idx="3">
                  <c:v>3.3308185590343209E-2</c:v>
                </c:pt>
              </c:numCache>
            </c:numRef>
          </c:val>
          <c:smooth val="0"/>
          <c:extLst>
            <c:ext xmlns:c16="http://schemas.microsoft.com/office/drawing/2014/chart" uri="{C3380CC4-5D6E-409C-BE32-E72D297353CC}">
              <c16:uniqueId val="{00000000-EDD3-400C-83A0-350AF221ECAA}"/>
            </c:ext>
          </c:extLst>
        </c:ser>
        <c:ser>
          <c:idx val="2"/>
          <c:order val="1"/>
          <c:tx>
            <c:strRef>
              <c:f>'Non-Financial Ratios'!$I$11</c:f>
              <c:strCache>
                <c:ptCount val="1"/>
                <c:pt idx="0">
                  <c:v>WM Morrison Supermarkets PLC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'Non-Financial Ratios'!$J$3:$M$3</c:f>
              <c:numCache>
                <c:formatCode>General</c:formatCode>
                <c:ptCount val="4"/>
                <c:pt idx="0">
                  <c:v>2011</c:v>
                </c:pt>
                <c:pt idx="1">
                  <c:v>2012</c:v>
                </c:pt>
                <c:pt idx="2">
                  <c:v>2013</c:v>
                </c:pt>
                <c:pt idx="3">
                  <c:v>2014</c:v>
                </c:pt>
              </c:numCache>
            </c:numRef>
          </c:cat>
          <c:val>
            <c:numRef>
              <c:f>'Non-Financial Ratios'!$J$11:$M$11</c:f>
              <c:numCache>
                <c:formatCode>0.0%</c:formatCode>
                <c:ptCount val="4"/>
                <c:pt idx="0">
                  <c:v>-5.7050516405536378E-2</c:v>
                </c:pt>
                <c:pt idx="1">
                  <c:v>-3.852171969301843E-2</c:v>
                </c:pt>
                <c:pt idx="2">
                  <c:v>-4.9829510229386198E-2</c:v>
                </c:pt>
                <c:pt idx="3">
                  <c:v>-3.2134409917624951E-2</c:v>
                </c:pt>
              </c:numCache>
            </c:numRef>
          </c:val>
          <c:smooth val="0"/>
          <c:extLst>
            <c:ext xmlns:c16="http://schemas.microsoft.com/office/drawing/2014/chart" uri="{C3380CC4-5D6E-409C-BE32-E72D297353CC}">
              <c16:uniqueId val="{00000001-EDD3-400C-83A0-350AF221ECAA}"/>
            </c:ext>
          </c:extLst>
        </c:ser>
        <c:ser>
          <c:idx val="3"/>
          <c:order val="2"/>
          <c:tx>
            <c:strRef>
              <c:f>'Non-Financial Ratios'!$I$12</c:f>
              <c:strCache>
                <c:ptCount val="1"/>
                <c:pt idx="0">
                  <c:v>J Sainsbury plc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'Non-Financial Ratios'!$J$3:$M$3</c:f>
              <c:numCache>
                <c:formatCode>General</c:formatCode>
                <c:ptCount val="4"/>
                <c:pt idx="0">
                  <c:v>2011</c:v>
                </c:pt>
                <c:pt idx="1">
                  <c:v>2012</c:v>
                </c:pt>
                <c:pt idx="2">
                  <c:v>2013</c:v>
                </c:pt>
                <c:pt idx="3">
                  <c:v>2014</c:v>
                </c:pt>
              </c:numCache>
            </c:numRef>
          </c:cat>
          <c:val>
            <c:numRef>
              <c:f>'Non-Financial Ratios'!$J$12:$M$12</c:f>
              <c:numCache>
                <c:formatCode>0.0%</c:formatCode>
                <c:ptCount val="4"/>
                <c:pt idx="0">
                  <c:v>7.6992447300191724E-2</c:v>
                </c:pt>
                <c:pt idx="1">
                  <c:v>6.4841951015281563E-2</c:v>
                </c:pt>
                <c:pt idx="2">
                  <c:v>4.5117216297242857E-2</c:v>
                </c:pt>
                <c:pt idx="3">
                  <c:v>4.2087937926169827E-2</c:v>
                </c:pt>
              </c:numCache>
            </c:numRef>
          </c:val>
          <c:smooth val="0"/>
          <c:extLst>
            <c:ext xmlns:c16="http://schemas.microsoft.com/office/drawing/2014/chart" uri="{C3380CC4-5D6E-409C-BE32-E72D297353CC}">
              <c16:uniqueId val="{00000002-EDD3-400C-83A0-350AF221ECAA}"/>
            </c:ext>
          </c:extLst>
        </c:ser>
        <c:dLbls>
          <c:showLegendKey val="0"/>
          <c:showVal val="0"/>
          <c:showCatName val="0"/>
          <c:showSerName val="0"/>
          <c:showPercent val="0"/>
          <c:showBubbleSize val="0"/>
        </c:dLbls>
        <c:marker val="1"/>
        <c:smooth val="0"/>
        <c:axId val="783825295"/>
        <c:axId val="783817807"/>
      </c:lineChart>
      <c:catAx>
        <c:axId val="7838252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817807"/>
        <c:crosses val="autoZero"/>
        <c:auto val="1"/>
        <c:lblAlgn val="ctr"/>
        <c:lblOffset val="100"/>
        <c:noMultiLvlLbl val="0"/>
      </c:catAx>
      <c:valAx>
        <c:axId val="7838178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825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Quick Ratio</a:t>
            </a:r>
          </a:p>
        </c:rich>
      </c:tx>
      <c:layout>
        <c:manualLayout>
          <c:xMode val="edge"/>
          <c:yMode val="edge"/>
          <c:x val="0.39006801778932071"/>
          <c:y val="3.658536585365853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Ratio'!$B$3</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Ratio'!$J$3:$N$3</c:f>
              <c:numCache>
                <c:formatCode>General</c:formatCode>
                <c:ptCount val="5"/>
                <c:pt idx="0">
                  <c:v>0.42</c:v>
                </c:pt>
                <c:pt idx="1">
                  <c:v>0.43</c:v>
                </c:pt>
                <c:pt idx="2">
                  <c:v>0.43</c:v>
                </c:pt>
                <c:pt idx="3">
                  <c:v>0.45</c:v>
                </c:pt>
                <c:pt idx="4">
                  <c:v>0.51</c:v>
                </c:pt>
              </c:numCache>
            </c:numRef>
          </c:val>
          <c:smooth val="0"/>
          <c:extLst>
            <c:ext xmlns:c16="http://schemas.microsoft.com/office/drawing/2014/chart" uri="{C3380CC4-5D6E-409C-BE32-E72D297353CC}">
              <c16:uniqueId val="{00000000-866F-4B4D-AF2F-9108A87CA72D}"/>
            </c:ext>
          </c:extLst>
        </c:ser>
        <c:ser>
          <c:idx val="2"/>
          <c:order val="1"/>
          <c:tx>
            <c:strRef>
              <c:f>'Finanical Ratio'!$B$4</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Ratio'!$J$4:$N$4</c:f>
              <c:numCache>
                <c:formatCode>General</c:formatCode>
                <c:ptCount val="5"/>
                <c:pt idx="0">
                  <c:v>0.16</c:v>
                </c:pt>
                <c:pt idx="1">
                  <c:v>0.2</c:v>
                </c:pt>
                <c:pt idx="2">
                  <c:v>0.21</c:v>
                </c:pt>
                <c:pt idx="3">
                  <c:v>0.21</c:v>
                </c:pt>
                <c:pt idx="4">
                  <c:v>0.19</c:v>
                </c:pt>
              </c:numCache>
            </c:numRef>
          </c:val>
          <c:smooth val="0"/>
          <c:extLst>
            <c:ext xmlns:c16="http://schemas.microsoft.com/office/drawing/2014/chart" uri="{C3380CC4-5D6E-409C-BE32-E72D297353CC}">
              <c16:uniqueId val="{00000001-866F-4B4D-AF2F-9108A87CA72D}"/>
            </c:ext>
          </c:extLst>
        </c:ser>
        <c:ser>
          <c:idx val="3"/>
          <c:order val="2"/>
          <c:tx>
            <c:strRef>
              <c:f>'Finanical Ratio'!$B$5</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Ratio'!$J$5:$N$5</c:f>
              <c:numCache>
                <c:formatCode>General</c:formatCode>
                <c:ptCount val="5"/>
                <c:pt idx="0">
                  <c:v>0.48</c:v>
                </c:pt>
                <c:pt idx="1">
                  <c:v>0.25</c:v>
                </c:pt>
                <c:pt idx="2">
                  <c:v>0.33</c:v>
                </c:pt>
                <c:pt idx="3">
                  <c:v>0.27</c:v>
                </c:pt>
                <c:pt idx="4">
                  <c:v>0.36</c:v>
                </c:pt>
              </c:numCache>
            </c:numRef>
          </c:val>
          <c:smooth val="0"/>
          <c:extLst>
            <c:ext xmlns:c16="http://schemas.microsoft.com/office/drawing/2014/chart" uri="{C3380CC4-5D6E-409C-BE32-E72D297353CC}">
              <c16:uniqueId val="{00000002-866F-4B4D-AF2F-9108A87CA72D}"/>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Long</a:t>
            </a:r>
            <a:r>
              <a:rPr lang="en-US" baseline="0"/>
              <a:t> Term Debt/Equity</a:t>
            </a:r>
            <a:endParaRPr lang="en-US"/>
          </a:p>
        </c:rich>
      </c:tx>
      <c:layout>
        <c:manualLayout>
          <c:xMode val="edge"/>
          <c:yMode val="edge"/>
          <c:x val="0.29646256759012846"/>
          <c:y val="3.658536585365853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Ratio'!$B$8</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Ratio'!$C$8:$G$8</c:f>
              <c:numCache>
                <c:formatCode>General</c:formatCode>
                <c:ptCount val="5"/>
                <c:pt idx="0">
                  <c:v>0.61</c:v>
                </c:pt>
                <c:pt idx="1">
                  <c:v>0.66</c:v>
                </c:pt>
                <c:pt idx="2">
                  <c:v>0.64</c:v>
                </c:pt>
                <c:pt idx="3">
                  <c:v>0.65</c:v>
                </c:pt>
                <c:pt idx="4">
                  <c:v>0.71</c:v>
                </c:pt>
              </c:numCache>
            </c:numRef>
          </c:val>
          <c:smooth val="0"/>
          <c:extLst>
            <c:ext xmlns:c16="http://schemas.microsoft.com/office/drawing/2014/chart" uri="{C3380CC4-5D6E-409C-BE32-E72D297353CC}">
              <c16:uniqueId val="{00000000-74C0-49DA-B481-93621F14CBB2}"/>
            </c:ext>
          </c:extLst>
        </c:ser>
        <c:ser>
          <c:idx val="2"/>
          <c:order val="1"/>
          <c:tx>
            <c:strRef>
              <c:f>'Finanical Ratio'!$B$9</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Ratio'!$C$9:$G$9</c:f>
              <c:numCache>
                <c:formatCode>General</c:formatCode>
                <c:ptCount val="5"/>
                <c:pt idx="0">
                  <c:v>0.5</c:v>
                </c:pt>
                <c:pt idx="1">
                  <c:v>0.57999999999999996</c:v>
                </c:pt>
                <c:pt idx="2">
                  <c:v>0.56999999999999995</c:v>
                </c:pt>
                <c:pt idx="3">
                  <c:v>0.55000000000000004</c:v>
                </c:pt>
                <c:pt idx="4">
                  <c:v>0.51</c:v>
                </c:pt>
              </c:numCache>
            </c:numRef>
          </c:val>
          <c:smooth val="0"/>
          <c:extLst>
            <c:ext xmlns:c16="http://schemas.microsoft.com/office/drawing/2014/chart" uri="{C3380CC4-5D6E-409C-BE32-E72D297353CC}">
              <c16:uniqueId val="{00000001-74C0-49DA-B481-93621F14CBB2}"/>
            </c:ext>
          </c:extLst>
        </c:ser>
        <c:ser>
          <c:idx val="3"/>
          <c:order val="2"/>
          <c:tx>
            <c:strRef>
              <c:f>'Finanical Ratio'!$B$10</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Ratio'!$C$10:$G$10</c:f>
              <c:numCache>
                <c:formatCode>General</c:formatCode>
                <c:ptCount val="5"/>
                <c:pt idx="0">
                  <c:v>0.64</c:v>
                </c:pt>
                <c:pt idx="1">
                  <c:v>0.61</c:v>
                </c:pt>
                <c:pt idx="2">
                  <c:v>0.65</c:v>
                </c:pt>
                <c:pt idx="3">
                  <c:v>0.59</c:v>
                </c:pt>
                <c:pt idx="4">
                  <c:v>0.66</c:v>
                </c:pt>
              </c:numCache>
            </c:numRef>
          </c:val>
          <c:smooth val="0"/>
          <c:extLst>
            <c:ext xmlns:c16="http://schemas.microsoft.com/office/drawing/2014/chart" uri="{C3380CC4-5D6E-409C-BE32-E72D297353CC}">
              <c16:uniqueId val="{00000002-74C0-49DA-B481-93621F14CBB2}"/>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min val="0.45"/>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Total Debt/Total Capital</a:t>
            </a:r>
          </a:p>
        </c:rich>
      </c:tx>
      <c:layout>
        <c:manualLayout>
          <c:xMode val="edge"/>
          <c:yMode val="edge"/>
          <c:x val="0.29646256759012846"/>
          <c:y val="3.658536585365853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Ratio'!$B$8</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Ratio'!$J$8:$N$8</c:f>
              <c:numCache>
                <c:formatCode>General</c:formatCode>
                <c:ptCount val="5"/>
                <c:pt idx="0">
                  <c:v>0.43</c:v>
                </c:pt>
                <c:pt idx="1">
                  <c:v>0.39</c:v>
                </c:pt>
                <c:pt idx="2">
                  <c:v>0.4</c:v>
                </c:pt>
                <c:pt idx="3">
                  <c:v>0.4</c:v>
                </c:pt>
                <c:pt idx="4">
                  <c:v>0.48</c:v>
                </c:pt>
              </c:numCache>
            </c:numRef>
          </c:val>
          <c:smooth val="0"/>
          <c:extLst>
            <c:ext xmlns:c16="http://schemas.microsoft.com/office/drawing/2014/chart" uri="{C3380CC4-5D6E-409C-BE32-E72D297353CC}">
              <c16:uniqueId val="{00000000-54AA-405C-A940-0FB50B97D172}"/>
            </c:ext>
          </c:extLst>
        </c:ser>
        <c:ser>
          <c:idx val="2"/>
          <c:order val="1"/>
          <c:tx>
            <c:strRef>
              <c:f>'Finanical Ratio'!$B$9</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Ratio'!$J$9:$N$9</c:f>
              <c:numCache>
                <c:formatCode>General</c:formatCode>
                <c:ptCount val="5"/>
                <c:pt idx="0">
                  <c:v>0.39</c:v>
                </c:pt>
                <c:pt idx="1">
                  <c:v>0.32</c:v>
                </c:pt>
                <c:pt idx="2">
                  <c:v>0.24</c:v>
                </c:pt>
                <c:pt idx="3">
                  <c:v>0.16</c:v>
                </c:pt>
                <c:pt idx="4">
                  <c:v>0.2</c:v>
                </c:pt>
              </c:numCache>
            </c:numRef>
          </c:val>
          <c:smooth val="0"/>
          <c:extLst>
            <c:ext xmlns:c16="http://schemas.microsoft.com/office/drawing/2014/chart" uri="{C3380CC4-5D6E-409C-BE32-E72D297353CC}">
              <c16:uniqueId val="{00000001-54AA-405C-A940-0FB50B97D172}"/>
            </c:ext>
          </c:extLst>
        </c:ser>
        <c:ser>
          <c:idx val="3"/>
          <c:order val="2"/>
          <c:tx>
            <c:strRef>
              <c:f>'Finanical Ratio'!$B$10</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Ratio'!$J$10:$N$10</c:f>
              <c:numCache>
                <c:formatCode>General</c:formatCode>
                <c:ptCount val="5"/>
                <c:pt idx="0">
                  <c:v>0.32</c:v>
                </c:pt>
                <c:pt idx="1">
                  <c:v>0.32</c:v>
                </c:pt>
                <c:pt idx="2">
                  <c:v>0.33</c:v>
                </c:pt>
                <c:pt idx="3">
                  <c:v>0.31</c:v>
                </c:pt>
                <c:pt idx="4">
                  <c:v>0.33</c:v>
                </c:pt>
              </c:numCache>
            </c:numRef>
          </c:val>
          <c:smooth val="0"/>
          <c:extLst>
            <c:ext xmlns:c16="http://schemas.microsoft.com/office/drawing/2014/chart" uri="{C3380CC4-5D6E-409C-BE32-E72D297353CC}">
              <c16:uniqueId val="{00000002-54AA-405C-A940-0FB50B97D172}"/>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Asset Turover</a:t>
            </a:r>
          </a:p>
        </c:rich>
      </c:tx>
      <c:layout>
        <c:manualLayout>
          <c:xMode val="edge"/>
          <c:yMode val="edge"/>
          <c:x val="0.4009523724636454"/>
          <c:y val="4.06504065040650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Ratio'!$B$13</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Ratio'!$C$13:$G$13</c:f>
              <c:numCache>
                <c:formatCode>General</c:formatCode>
                <c:ptCount val="5"/>
                <c:pt idx="0">
                  <c:v>1.27</c:v>
                </c:pt>
                <c:pt idx="1">
                  <c:v>1.26</c:v>
                </c:pt>
                <c:pt idx="2">
                  <c:v>1.3</c:v>
                </c:pt>
                <c:pt idx="3">
                  <c:v>1.3</c:v>
                </c:pt>
                <c:pt idx="4">
                  <c:v>1.24</c:v>
                </c:pt>
              </c:numCache>
            </c:numRef>
          </c:val>
          <c:smooth val="0"/>
          <c:extLst>
            <c:ext xmlns:c16="http://schemas.microsoft.com/office/drawing/2014/chart" uri="{C3380CC4-5D6E-409C-BE32-E72D297353CC}">
              <c16:uniqueId val="{00000000-140B-42E5-BF56-659742A21BAA}"/>
            </c:ext>
          </c:extLst>
        </c:ser>
        <c:ser>
          <c:idx val="2"/>
          <c:order val="1"/>
          <c:tx>
            <c:strRef>
              <c:f>'Finanical Ratio'!$B$14</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Ratio'!$C$14:$G$14</c:f>
              <c:numCache>
                <c:formatCode>General</c:formatCode>
                <c:ptCount val="5"/>
                <c:pt idx="0">
                  <c:v>1.66</c:v>
                </c:pt>
                <c:pt idx="1">
                  <c:v>1.78</c:v>
                </c:pt>
                <c:pt idx="2">
                  <c:v>1.86</c:v>
                </c:pt>
                <c:pt idx="3">
                  <c:v>1.84</c:v>
                </c:pt>
                <c:pt idx="4">
                  <c:v>1.81</c:v>
                </c:pt>
              </c:numCache>
            </c:numRef>
          </c:val>
          <c:smooth val="0"/>
          <c:extLst>
            <c:ext xmlns:c16="http://schemas.microsoft.com/office/drawing/2014/chart" uri="{C3380CC4-5D6E-409C-BE32-E72D297353CC}">
              <c16:uniqueId val="{00000001-140B-42E5-BF56-659742A21BAA}"/>
            </c:ext>
          </c:extLst>
        </c:ser>
        <c:ser>
          <c:idx val="3"/>
          <c:order val="2"/>
          <c:tx>
            <c:strRef>
              <c:f>'Finanical Ratio'!$B$15</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Ratio'!$C$15:$G$15</c:f>
              <c:numCache>
                <c:formatCode>General</c:formatCode>
                <c:ptCount val="5"/>
                <c:pt idx="0">
                  <c:v>1.64</c:v>
                </c:pt>
                <c:pt idx="1">
                  <c:v>1.86</c:v>
                </c:pt>
                <c:pt idx="2">
                  <c:v>1.88</c:v>
                </c:pt>
                <c:pt idx="3">
                  <c:v>1.9</c:v>
                </c:pt>
                <c:pt idx="4">
                  <c:v>1.91</c:v>
                </c:pt>
              </c:numCache>
            </c:numRef>
          </c:val>
          <c:smooth val="0"/>
          <c:extLst>
            <c:ext xmlns:c16="http://schemas.microsoft.com/office/drawing/2014/chart" uri="{C3380CC4-5D6E-409C-BE32-E72D297353CC}">
              <c16:uniqueId val="{00000002-140B-42E5-BF56-659742A21BAA}"/>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max val="2"/>
          <c:min val="1"/>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Invenotry Turover</a:t>
            </a:r>
          </a:p>
        </c:rich>
      </c:tx>
      <c:layout>
        <c:manualLayout>
          <c:xMode val="edge"/>
          <c:yMode val="edge"/>
          <c:x val="0.37047617937553629"/>
          <c:y val="4.878048780487805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Ratio'!$B$13</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Ratio'!$J$13:$N$13</c:f>
              <c:numCache>
                <c:formatCode>General</c:formatCode>
                <c:ptCount val="5"/>
                <c:pt idx="0">
                  <c:v>16.27</c:v>
                </c:pt>
                <c:pt idx="1">
                  <c:v>16.14</c:v>
                </c:pt>
                <c:pt idx="2">
                  <c:v>17.309999999999999</c:v>
                </c:pt>
                <c:pt idx="3">
                  <c:v>18.78</c:v>
                </c:pt>
                <c:pt idx="4">
                  <c:v>19.38</c:v>
                </c:pt>
              </c:numCache>
            </c:numRef>
          </c:val>
          <c:smooth val="0"/>
          <c:extLst>
            <c:ext xmlns:c16="http://schemas.microsoft.com/office/drawing/2014/chart" uri="{C3380CC4-5D6E-409C-BE32-E72D297353CC}">
              <c16:uniqueId val="{00000000-DE73-43E4-8803-E32AF8551828}"/>
            </c:ext>
          </c:extLst>
        </c:ser>
        <c:ser>
          <c:idx val="2"/>
          <c:order val="1"/>
          <c:tx>
            <c:strRef>
              <c:f>'Finanical Ratio'!$B$14</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Ratio'!$J$14:$N$14</c:f>
              <c:numCache>
                <c:formatCode>General</c:formatCode>
                <c:ptCount val="5"/>
                <c:pt idx="0">
                  <c:v>20.34</c:v>
                </c:pt>
                <c:pt idx="1">
                  <c:v>21.96</c:v>
                </c:pt>
                <c:pt idx="2">
                  <c:v>23.54</c:v>
                </c:pt>
                <c:pt idx="3">
                  <c:v>25.24</c:v>
                </c:pt>
                <c:pt idx="4">
                  <c:v>26.79</c:v>
                </c:pt>
              </c:numCache>
            </c:numRef>
          </c:val>
          <c:smooth val="0"/>
          <c:extLst>
            <c:ext xmlns:c16="http://schemas.microsoft.com/office/drawing/2014/chart" uri="{C3380CC4-5D6E-409C-BE32-E72D297353CC}">
              <c16:uniqueId val="{00000001-DE73-43E4-8803-E32AF8551828}"/>
            </c:ext>
          </c:extLst>
        </c:ser>
        <c:ser>
          <c:idx val="3"/>
          <c:order val="2"/>
          <c:tx>
            <c:strRef>
              <c:f>'Finanical Ratio'!$B$15</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Ratio'!$J$15:$N$15</c:f>
              <c:numCache>
                <c:formatCode>General</c:formatCode>
                <c:ptCount val="5"/>
                <c:pt idx="0">
                  <c:v>22.65</c:v>
                </c:pt>
                <c:pt idx="1">
                  <c:v>22.88</c:v>
                </c:pt>
                <c:pt idx="2">
                  <c:v>24.09</c:v>
                </c:pt>
                <c:pt idx="3">
                  <c:v>26.34</c:v>
                </c:pt>
                <c:pt idx="4">
                  <c:v>27.15</c:v>
                </c:pt>
              </c:numCache>
            </c:numRef>
          </c:val>
          <c:smooth val="0"/>
          <c:extLst>
            <c:ext xmlns:c16="http://schemas.microsoft.com/office/drawing/2014/chart" uri="{C3380CC4-5D6E-409C-BE32-E72D297353CC}">
              <c16:uniqueId val="{00000002-DE73-43E4-8803-E32AF8551828}"/>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min val="10"/>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Gross Margin %</a:t>
            </a:r>
          </a:p>
        </c:rich>
      </c:tx>
      <c:layout>
        <c:manualLayout>
          <c:xMode val="edge"/>
          <c:yMode val="edge"/>
          <c:x val="0.39006801778932071"/>
          <c:y val="4.4715447154471545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Ratio'!$B$18</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Ratio'!$C$18:$G$18</c:f>
              <c:numCache>
                <c:formatCode>0.00%</c:formatCode>
                <c:ptCount val="5"/>
                <c:pt idx="0">
                  <c:v>6.3100000000000003E-2</c:v>
                </c:pt>
                <c:pt idx="1">
                  <c:v>6.5500000000000003E-2</c:v>
                </c:pt>
                <c:pt idx="2">
                  <c:v>8.4400000000000003E-2</c:v>
                </c:pt>
                <c:pt idx="3">
                  <c:v>8.48E-2</c:v>
                </c:pt>
                <c:pt idx="4">
                  <c:v>8.1000000000000003E-2</c:v>
                </c:pt>
              </c:numCache>
            </c:numRef>
          </c:val>
          <c:smooth val="0"/>
          <c:extLst>
            <c:ext xmlns:c16="http://schemas.microsoft.com/office/drawing/2014/chart" uri="{C3380CC4-5D6E-409C-BE32-E72D297353CC}">
              <c16:uniqueId val="{00000000-6CDE-4ACB-BF34-27FD68C66CF0}"/>
            </c:ext>
          </c:extLst>
        </c:ser>
        <c:ser>
          <c:idx val="2"/>
          <c:order val="1"/>
          <c:tx>
            <c:strRef>
              <c:f>'Finanical Ratio'!$B$19</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Ratio'!$C$19:$G$19</c:f>
              <c:numCache>
                <c:formatCode>0.00%</c:formatCode>
                <c:ptCount val="5"/>
                <c:pt idx="0">
                  <c:v>6.0699999999999997E-2</c:v>
                </c:pt>
                <c:pt idx="1">
                  <c:v>6.6600000000000006E-2</c:v>
                </c:pt>
                <c:pt idx="2">
                  <c:v>6.8900000000000003E-2</c:v>
                </c:pt>
                <c:pt idx="3">
                  <c:v>6.9699999999999998E-2</c:v>
                </c:pt>
                <c:pt idx="4">
                  <c:v>6.8900000000000003E-2</c:v>
                </c:pt>
              </c:numCache>
            </c:numRef>
          </c:val>
          <c:smooth val="0"/>
          <c:extLst>
            <c:ext xmlns:c16="http://schemas.microsoft.com/office/drawing/2014/chart" uri="{C3380CC4-5D6E-409C-BE32-E72D297353CC}">
              <c16:uniqueId val="{00000001-6CDE-4ACB-BF34-27FD68C66CF0}"/>
            </c:ext>
          </c:extLst>
        </c:ser>
        <c:ser>
          <c:idx val="3"/>
          <c:order val="2"/>
          <c:tx>
            <c:strRef>
              <c:f>'Finanical Ratio'!$B$20</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Ratio'!$C$20:$G$20</c:f>
              <c:numCache>
                <c:formatCode>0.00%</c:formatCode>
                <c:ptCount val="5"/>
                <c:pt idx="0">
                  <c:v>5.79E-2</c:v>
                </c:pt>
                <c:pt idx="1">
                  <c:v>5.4800000000000001E-2</c:v>
                </c:pt>
                <c:pt idx="2">
                  <c:v>5.4300000000000001E-2</c:v>
                </c:pt>
                <c:pt idx="3">
                  <c:v>5.5E-2</c:v>
                </c:pt>
                <c:pt idx="4">
                  <c:v>5.4199999999999998E-2</c:v>
                </c:pt>
              </c:numCache>
            </c:numRef>
          </c:val>
          <c:smooth val="0"/>
          <c:extLst>
            <c:ext xmlns:c16="http://schemas.microsoft.com/office/drawing/2014/chart" uri="{C3380CC4-5D6E-409C-BE32-E72D297353CC}">
              <c16:uniqueId val="{00000002-6CDE-4ACB-BF34-27FD68C66CF0}"/>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min val="4.0000000000000008E-2"/>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Operating Margin %</a:t>
            </a:r>
          </a:p>
        </c:rich>
      </c:tx>
      <c:layout>
        <c:manualLayout>
          <c:xMode val="edge"/>
          <c:yMode val="edge"/>
          <c:x val="0.3487074700268869"/>
          <c:y val="4.06504065040650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Ratio'!$B$18</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Ratio'!$J$18:$N$18</c:f>
              <c:numCache>
                <c:formatCode>0.00%</c:formatCode>
                <c:ptCount val="5"/>
                <c:pt idx="0">
                  <c:v>4.1399999999999999E-2</c:v>
                </c:pt>
                <c:pt idx="1">
                  <c:v>3.7600000000000001E-2</c:v>
                </c:pt>
                <c:pt idx="2">
                  <c:v>6.54E-2</c:v>
                </c:pt>
                <c:pt idx="3">
                  <c:v>6.4799999999999996E-2</c:v>
                </c:pt>
                <c:pt idx="4">
                  <c:v>6.0699999999999997E-2</c:v>
                </c:pt>
              </c:numCache>
            </c:numRef>
          </c:val>
          <c:smooth val="0"/>
          <c:extLst>
            <c:ext xmlns:c16="http://schemas.microsoft.com/office/drawing/2014/chart" uri="{C3380CC4-5D6E-409C-BE32-E72D297353CC}">
              <c16:uniqueId val="{00000000-02E6-45B2-AFAB-0154DE433B02}"/>
            </c:ext>
          </c:extLst>
        </c:ser>
        <c:ser>
          <c:idx val="2"/>
          <c:order val="1"/>
          <c:tx>
            <c:strRef>
              <c:f>'Finanical Ratio'!$B$19</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Ratio'!$J$19:$N$19</c:f>
              <c:numCache>
                <c:formatCode>0.00%</c:formatCode>
                <c:ptCount val="5"/>
                <c:pt idx="0">
                  <c:v>-5.4000000000000003E-3</c:v>
                </c:pt>
                <c:pt idx="1">
                  <c:v>5.2400000000000002E-2</c:v>
                </c:pt>
                <c:pt idx="2">
                  <c:v>5.5100000000000003E-2</c:v>
                </c:pt>
                <c:pt idx="3">
                  <c:v>5.4899999999999997E-2</c:v>
                </c:pt>
                <c:pt idx="4">
                  <c:v>5.8900000000000001E-2</c:v>
                </c:pt>
              </c:numCache>
            </c:numRef>
          </c:val>
          <c:smooth val="0"/>
          <c:extLst>
            <c:ext xmlns:c16="http://schemas.microsoft.com/office/drawing/2014/chart" uri="{C3380CC4-5D6E-409C-BE32-E72D297353CC}">
              <c16:uniqueId val="{00000001-02E6-45B2-AFAB-0154DE433B02}"/>
            </c:ext>
          </c:extLst>
        </c:ser>
        <c:ser>
          <c:idx val="3"/>
          <c:order val="2"/>
          <c:tx>
            <c:strRef>
              <c:f>'Finanical Ratio'!$B$20</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Ratio'!$J$2:$N$2</c:f>
              <c:numCache>
                <c:formatCode>General</c:formatCode>
                <c:ptCount val="5"/>
                <c:pt idx="0">
                  <c:v>2014</c:v>
                </c:pt>
                <c:pt idx="1">
                  <c:v>2013</c:v>
                </c:pt>
                <c:pt idx="2">
                  <c:v>2012</c:v>
                </c:pt>
                <c:pt idx="3">
                  <c:v>2011</c:v>
                </c:pt>
                <c:pt idx="4">
                  <c:v>2010</c:v>
                </c:pt>
              </c:numCache>
            </c:numRef>
          </c:cat>
          <c:val>
            <c:numRef>
              <c:f>'Finanical Ratio'!$J$20:$N$20</c:f>
              <c:numCache>
                <c:formatCode>0.00%</c:formatCode>
                <c:ptCount val="5"/>
                <c:pt idx="0">
                  <c:v>4.2099999999999999E-2</c:v>
                </c:pt>
                <c:pt idx="1">
                  <c:v>3.78E-2</c:v>
                </c:pt>
                <c:pt idx="2">
                  <c:v>3.9199999999999999E-2</c:v>
                </c:pt>
                <c:pt idx="3">
                  <c:v>4.0300000000000002E-2</c:v>
                </c:pt>
                <c:pt idx="4">
                  <c:v>3.56E-2</c:v>
                </c:pt>
              </c:numCache>
            </c:numRef>
          </c:val>
          <c:smooth val="0"/>
          <c:extLst>
            <c:ext xmlns:c16="http://schemas.microsoft.com/office/drawing/2014/chart" uri="{C3380CC4-5D6E-409C-BE32-E72D297353CC}">
              <c16:uniqueId val="{00000002-02E6-45B2-AFAB-0154DE433B02}"/>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Return on Assets</a:t>
            </a:r>
          </a:p>
        </c:rich>
      </c:tx>
      <c:layout>
        <c:manualLayout>
          <c:xMode val="edge"/>
          <c:yMode val="edge"/>
          <c:x val="0.3487074700268869"/>
          <c:y val="4.06504065040650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1"/>
          <c:order val="0"/>
          <c:tx>
            <c:strRef>
              <c:f>'Finanical Ratio'!$B$23</c:f>
              <c:strCache>
                <c:ptCount val="1"/>
                <c:pt idx="0">
                  <c:v>Tesco PLC</c:v>
                </c:pt>
              </c:strCache>
            </c:strRef>
          </c:tx>
          <c:spPr>
            <a:ln w="38100" cap="rnd">
              <a:solidFill>
                <a:schemeClr val="accent2"/>
              </a:solidFill>
              <a:round/>
            </a:ln>
            <a:effectLst/>
          </c:spPr>
          <c:marker>
            <c:symbol val="diamond"/>
            <c:size val="6"/>
            <c:spPr>
              <a:solidFill>
                <a:schemeClr val="accent2"/>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Ratio'!$C$23:$G$23</c:f>
              <c:numCache>
                <c:formatCode>0.00%</c:formatCode>
                <c:ptCount val="5"/>
                <c:pt idx="0">
                  <c:v>3.8100000000000002E-2</c:v>
                </c:pt>
                <c:pt idx="1">
                  <c:v>3.0300000000000001E-2</c:v>
                </c:pt>
                <c:pt idx="2">
                  <c:v>6.4600000000000005E-2</c:v>
                </c:pt>
                <c:pt idx="3">
                  <c:v>5.96E-2</c:v>
                </c:pt>
                <c:pt idx="4">
                  <c:v>5.0999999999999997E-2</c:v>
                </c:pt>
              </c:numCache>
            </c:numRef>
          </c:val>
          <c:smooth val="0"/>
          <c:extLst>
            <c:ext xmlns:c16="http://schemas.microsoft.com/office/drawing/2014/chart" uri="{C3380CC4-5D6E-409C-BE32-E72D297353CC}">
              <c16:uniqueId val="{00000000-7AE9-46BC-AA7A-CFE2C91EB9C3}"/>
            </c:ext>
          </c:extLst>
        </c:ser>
        <c:ser>
          <c:idx val="2"/>
          <c:order val="1"/>
          <c:tx>
            <c:strRef>
              <c:f>'Finanical Ratio'!$B$24</c:f>
              <c:strCache>
                <c:ptCount val="1"/>
                <c:pt idx="0">
                  <c:v>WM Morrison Supermarkets PLC</c:v>
                </c:pt>
              </c:strCache>
            </c:strRef>
          </c:tx>
          <c:spPr>
            <a:ln w="38100" cap="rnd">
              <a:solidFill>
                <a:schemeClr val="accent3"/>
              </a:solidFill>
              <a:round/>
            </a:ln>
            <a:effectLst/>
          </c:spPr>
          <c:marker>
            <c:symbol val="diamond"/>
            <c:size val="6"/>
            <c:spPr>
              <a:solidFill>
                <a:schemeClr val="accent3"/>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Ratio'!$C$24:$G$24</c:f>
              <c:numCache>
                <c:formatCode>0.00%</c:formatCode>
                <c:ptCount val="5"/>
                <c:pt idx="0">
                  <c:v>-2.24E-2</c:v>
                </c:pt>
                <c:pt idx="1">
                  <c:v>6.3500000000000001E-2</c:v>
                </c:pt>
                <c:pt idx="2">
                  <c:v>7.2599999999999998E-2</c:v>
                </c:pt>
                <c:pt idx="3">
                  <c:v>7.0599999999999996E-2</c:v>
                </c:pt>
                <c:pt idx="4">
                  <c:v>7.0400000000000004E-2</c:v>
                </c:pt>
              </c:numCache>
            </c:numRef>
          </c:val>
          <c:smooth val="0"/>
          <c:extLst>
            <c:ext xmlns:c16="http://schemas.microsoft.com/office/drawing/2014/chart" uri="{C3380CC4-5D6E-409C-BE32-E72D297353CC}">
              <c16:uniqueId val="{00000001-7AE9-46BC-AA7A-CFE2C91EB9C3}"/>
            </c:ext>
          </c:extLst>
        </c:ser>
        <c:ser>
          <c:idx val="3"/>
          <c:order val="2"/>
          <c:tx>
            <c:strRef>
              <c:f>'Finanical Ratio'!$B$25</c:f>
              <c:strCache>
                <c:ptCount val="1"/>
                <c:pt idx="0">
                  <c:v>J Sainsbury plc</c:v>
                </c:pt>
              </c:strCache>
            </c:strRef>
          </c:tx>
          <c:spPr>
            <a:ln w="38100" cap="rnd">
              <a:solidFill>
                <a:schemeClr val="accent4"/>
              </a:solidFill>
              <a:round/>
            </a:ln>
            <a:effectLst/>
          </c:spPr>
          <c:marker>
            <c:symbol val="diamond"/>
            <c:size val="6"/>
            <c:spPr>
              <a:solidFill>
                <a:schemeClr val="accent4"/>
              </a:solidFill>
              <a:ln>
                <a:noFill/>
              </a:ln>
              <a:effectLst/>
            </c:spPr>
          </c:marker>
          <c:cat>
            <c:numRef>
              <c:f>'Finanical Ratio'!$C$2:$G$2</c:f>
              <c:numCache>
                <c:formatCode>General</c:formatCode>
                <c:ptCount val="5"/>
                <c:pt idx="0">
                  <c:v>2014</c:v>
                </c:pt>
                <c:pt idx="1">
                  <c:v>2013</c:v>
                </c:pt>
                <c:pt idx="2">
                  <c:v>2012</c:v>
                </c:pt>
                <c:pt idx="3">
                  <c:v>2011</c:v>
                </c:pt>
                <c:pt idx="4">
                  <c:v>2010</c:v>
                </c:pt>
              </c:numCache>
            </c:numRef>
          </c:cat>
          <c:val>
            <c:numRef>
              <c:f>'Finanical Ratio'!$C$25:$G$25</c:f>
              <c:numCache>
                <c:formatCode>0.00%</c:formatCode>
                <c:ptCount val="5"/>
                <c:pt idx="0">
                  <c:v>4.9000000000000002E-2</c:v>
                </c:pt>
                <c:pt idx="1">
                  <c:v>4.8099999999999997E-2</c:v>
                </c:pt>
                <c:pt idx="2">
                  <c:v>5.04E-2</c:v>
                </c:pt>
                <c:pt idx="3">
                  <c:v>5.7500000000000002E-2</c:v>
                </c:pt>
                <c:pt idx="4">
                  <c:v>5.6000000000000001E-2</c:v>
                </c:pt>
              </c:numCache>
            </c:numRef>
          </c:val>
          <c:smooth val="0"/>
          <c:extLst>
            <c:ext xmlns:c16="http://schemas.microsoft.com/office/drawing/2014/chart" uri="{C3380CC4-5D6E-409C-BE32-E72D297353CC}">
              <c16:uniqueId val="{00000002-7AE9-46BC-AA7A-CFE2C91EB9C3}"/>
            </c:ext>
          </c:extLst>
        </c:ser>
        <c:dLbls>
          <c:showLegendKey val="0"/>
          <c:showVal val="0"/>
          <c:showCatName val="0"/>
          <c:showSerName val="0"/>
          <c:showPercent val="0"/>
          <c:showBubbleSize val="0"/>
        </c:dLbls>
        <c:marker val="1"/>
        <c:smooth val="0"/>
        <c:axId val="1957012975"/>
        <c:axId val="1957005487"/>
      </c:lineChart>
      <c:catAx>
        <c:axId val="1957012975"/>
        <c:scaling>
          <c:orientation val="maxMin"/>
        </c:scaling>
        <c:delete val="0"/>
        <c:axPos val="b"/>
        <c:numFmt formatCode="General" sourceLinked="1"/>
        <c:majorTickMark val="none"/>
        <c:minorTickMark val="none"/>
        <c:tickLblPos val="low"/>
        <c:spPr>
          <a:noFill/>
          <a:ln w="9525" cap="flat" cmpd="sng" algn="ctr">
            <a:solidFill>
              <a:schemeClr val="accent3">
                <a:alpha val="89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957005487"/>
        <c:crosses val="autoZero"/>
        <c:auto val="1"/>
        <c:lblAlgn val="ctr"/>
        <c:lblOffset val="100"/>
        <c:noMultiLvlLbl val="0"/>
      </c:catAx>
      <c:valAx>
        <c:axId val="1957005487"/>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012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8986-DA6C-4773-AABA-B08A62B3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23</Pages>
  <Words>3532</Words>
  <Characters>20135</Characters>
  <Application>Microsoft Office Word</Application>
  <DocSecurity>0</DocSecurity>
  <Lines>167</Lines>
  <Paragraphs>47</Paragraphs>
  <ScaleCrop>false</ScaleCrop>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 TIWARI</dc:creator>
  <cp:keywords/>
  <dc:description/>
  <cp:lastModifiedBy>TARUN TIWARI</cp:lastModifiedBy>
  <cp:revision>611</cp:revision>
  <dcterms:created xsi:type="dcterms:W3CDTF">2016-01-21T11:15:00Z</dcterms:created>
  <dcterms:modified xsi:type="dcterms:W3CDTF">2016-04-10T07:34:00Z</dcterms:modified>
</cp:coreProperties>
</file>